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0C9" w:rsidRDefault="00D54CC4" w:rsidP="008B40C9">
      <w:r>
        <w:rPr>
          <w:noProof/>
          <w:lang w:eastAsia="fi-FI"/>
        </w:rPr>
        <w:drawing>
          <wp:inline distT="0" distB="0" distL="0" distR="0" wp14:anchorId="4DE2D67D" wp14:editId="124B6742">
            <wp:extent cx="2329133" cy="520577"/>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tuaari_logo.png"/>
                    <pic:cNvPicPr/>
                  </pic:nvPicPr>
                  <pic:blipFill>
                    <a:blip r:embed="rId8">
                      <a:extLst>
                        <a:ext uri="{28A0092B-C50C-407E-A947-70E740481C1C}">
                          <a14:useLocalDpi xmlns:a14="http://schemas.microsoft.com/office/drawing/2010/main" val="0"/>
                        </a:ext>
                      </a:extLst>
                    </a:blip>
                    <a:stretch>
                      <a:fillRect/>
                    </a:stretch>
                  </pic:blipFill>
                  <pic:spPr>
                    <a:xfrm>
                      <a:off x="0" y="0"/>
                      <a:ext cx="2587702" cy="578369"/>
                    </a:xfrm>
                    <a:prstGeom prst="rect">
                      <a:avLst/>
                    </a:prstGeom>
                  </pic:spPr>
                </pic:pic>
              </a:graphicData>
            </a:graphic>
          </wp:inline>
        </w:drawing>
      </w:r>
      <w:r>
        <w:tab/>
      </w:r>
      <w:r>
        <w:tab/>
      </w:r>
      <w:r>
        <w:tab/>
        <w:t>Maaliskuu 2019</w:t>
      </w:r>
      <w:bookmarkStart w:id="0" w:name="_GoBack"/>
      <w:bookmarkEnd w:id="0"/>
    </w:p>
    <w:p w:rsidR="00D54CC4" w:rsidRDefault="00D54CC4" w:rsidP="008B40C9"/>
    <w:p w:rsidR="00D54CC4" w:rsidRDefault="00715C8C" w:rsidP="008B40C9">
      <w:pPr>
        <w:rPr>
          <w:b/>
          <w:sz w:val="28"/>
          <w:szCs w:val="28"/>
        </w:rPr>
      </w:pPr>
      <w:r>
        <w:rPr>
          <w:b/>
          <w:sz w:val="28"/>
          <w:szCs w:val="28"/>
        </w:rPr>
        <w:t xml:space="preserve">Yhteenveto </w:t>
      </w:r>
      <w:proofErr w:type="spellStart"/>
      <w:r w:rsidR="00D54CC4" w:rsidRPr="00D54CC4">
        <w:rPr>
          <w:b/>
          <w:sz w:val="28"/>
          <w:szCs w:val="28"/>
        </w:rPr>
        <w:t>AA</w:t>
      </w:r>
      <w:r>
        <w:rPr>
          <w:b/>
          <w:sz w:val="28"/>
          <w:szCs w:val="28"/>
        </w:rPr>
        <w:t>E</w:t>
      </w:r>
      <w:r w:rsidR="00D54CC4" w:rsidRPr="00D54CC4">
        <w:rPr>
          <w:b/>
          <w:sz w:val="28"/>
          <w:szCs w:val="28"/>
        </w:rPr>
        <w:t>:n</w:t>
      </w:r>
      <w:proofErr w:type="spellEnd"/>
      <w:r w:rsidR="00D54CC4" w:rsidRPr="00D54CC4">
        <w:rPr>
          <w:b/>
          <w:sz w:val="28"/>
          <w:szCs w:val="28"/>
        </w:rPr>
        <w:t xml:space="preserve"> työryhmien tärkeimmistä tapahtumista vuonna 2018</w:t>
      </w:r>
    </w:p>
    <w:sdt>
      <w:sdtPr>
        <w:id w:val="-1125381190"/>
        <w:docPartObj>
          <w:docPartGallery w:val="Table of Contents"/>
          <w:docPartUnique/>
        </w:docPartObj>
      </w:sdtPr>
      <w:sdtEndPr>
        <w:rPr>
          <w:rFonts w:ascii="Times New Roman" w:eastAsiaTheme="minorHAnsi" w:hAnsi="Times New Roman" w:cstheme="minorHAnsi"/>
          <w:b/>
          <w:bCs/>
          <w:color w:val="auto"/>
          <w:sz w:val="24"/>
          <w:szCs w:val="24"/>
          <w:lang w:eastAsia="en-US"/>
        </w:rPr>
      </w:sdtEndPr>
      <w:sdtContent>
        <w:p w:rsidR="00D42CBF" w:rsidRDefault="00D42CBF">
          <w:pPr>
            <w:pStyle w:val="Sisllysluettelonotsikko"/>
          </w:pPr>
          <w:r>
            <w:t>Sisällys</w:t>
          </w:r>
        </w:p>
        <w:p w:rsidR="00D42CBF" w:rsidRDefault="00D42CBF">
          <w:pPr>
            <w:pStyle w:val="Sisluet1"/>
            <w:rPr>
              <w:rFonts w:asciiTheme="minorHAnsi" w:eastAsiaTheme="minorEastAsia" w:hAnsiTheme="minorHAnsi" w:cstheme="minorBidi"/>
              <w:noProof/>
              <w:sz w:val="22"/>
              <w:szCs w:val="22"/>
              <w:lang w:eastAsia="fi-FI"/>
            </w:rPr>
          </w:pPr>
          <w:r>
            <w:rPr>
              <w:b/>
              <w:bCs/>
            </w:rPr>
            <w:fldChar w:fldCharType="begin"/>
          </w:r>
          <w:r>
            <w:rPr>
              <w:b/>
              <w:bCs/>
            </w:rPr>
            <w:instrText xml:space="preserve"> TOC \o "1-3" \h \z \u </w:instrText>
          </w:r>
          <w:r>
            <w:rPr>
              <w:b/>
              <w:bCs/>
            </w:rPr>
            <w:fldChar w:fldCharType="separate"/>
          </w:r>
          <w:hyperlink w:anchor="_Toc3469046" w:history="1">
            <w:r w:rsidRPr="005137E9">
              <w:rPr>
                <w:rStyle w:val="Hyperlinkki"/>
                <w:noProof/>
              </w:rPr>
              <w:t>Esko Kivisaari: AAE:n puheenjohtajuus / Standards, Freedoms and Professionalism Committee/</w:t>
            </w:r>
            <w:r>
              <w:rPr>
                <w:noProof/>
                <w:webHidden/>
              </w:rPr>
              <w:tab/>
            </w:r>
            <w:r>
              <w:rPr>
                <w:noProof/>
                <w:webHidden/>
              </w:rPr>
              <w:fldChar w:fldCharType="begin"/>
            </w:r>
            <w:r>
              <w:rPr>
                <w:noProof/>
                <w:webHidden/>
              </w:rPr>
              <w:instrText xml:space="preserve"> PAGEREF _Toc3469046 \h </w:instrText>
            </w:r>
            <w:r>
              <w:rPr>
                <w:noProof/>
                <w:webHidden/>
              </w:rPr>
            </w:r>
            <w:r>
              <w:rPr>
                <w:noProof/>
                <w:webHidden/>
              </w:rPr>
              <w:fldChar w:fldCharType="separate"/>
            </w:r>
            <w:r>
              <w:rPr>
                <w:noProof/>
                <w:webHidden/>
              </w:rPr>
              <w:t>1</w:t>
            </w:r>
            <w:r>
              <w:rPr>
                <w:noProof/>
                <w:webHidden/>
              </w:rPr>
              <w:fldChar w:fldCharType="end"/>
            </w:r>
          </w:hyperlink>
        </w:p>
        <w:p w:rsidR="00D42CBF" w:rsidRDefault="00D42CBF">
          <w:pPr>
            <w:pStyle w:val="Sisluet1"/>
            <w:rPr>
              <w:rFonts w:asciiTheme="minorHAnsi" w:eastAsiaTheme="minorEastAsia" w:hAnsiTheme="minorHAnsi" w:cstheme="minorBidi"/>
              <w:noProof/>
              <w:sz w:val="22"/>
              <w:szCs w:val="22"/>
              <w:lang w:eastAsia="fi-FI"/>
            </w:rPr>
          </w:pPr>
          <w:hyperlink w:anchor="_Toc3469047" w:history="1">
            <w:r w:rsidRPr="005137E9">
              <w:rPr>
                <w:rStyle w:val="Hyperlinkki"/>
                <w:noProof/>
              </w:rPr>
              <w:t>Lauri Saraste: Insurance Committee ja sen alainen Solvency II Working Group</w:t>
            </w:r>
            <w:r>
              <w:rPr>
                <w:noProof/>
                <w:webHidden/>
              </w:rPr>
              <w:tab/>
            </w:r>
            <w:r>
              <w:rPr>
                <w:noProof/>
                <w:webHidden/>
              </w:rPr>
              <w:fldChar w:fldCharType="begin"/>
            </w:r>
            <w:r>
              <w:rPr>
                <w:noProof/>
                <w:webHidden/>
              </w:rPr>
              <w:instrText xml:space="preserve"> PAGEREF _Toc3469047 \h </w:instrText>
            </w:r>
            <w:r>
              <w:rPr>
                <w:noProof/>
                <w:webHidden/>
              </w:rPr>
            </w:r>
            <w:r>
              <w:rPr>
                <w:noProof/>
                <w:webHidden/>
              </w:rPr>
              <w:fldChar w:fldCharType="separate"/>
            </w:r>
            <w:r>
              <w:rPr>
                <w:noProof/>
                <w:webHidden/>
              </w:rPr>
              <w:t>2</w:t>
            </w:r>
            <w:r>
              <w:rPr>
                <w:noProof/>
                <w:webHidden/>
              </w:rPr>
              <w:fldChar w:fldCharType="end"/>
            </w:r>
          </w:hyperlink>
        </w:p>
        <w:p w:rsidR="00D42CBF" w:rsidRDefault="00D42CBF">
          <w:pPr>
            <w:pStyle w:val="Sisluet1"/>
            <w:rPr>
              <w:rFonts w:asciiTheme="minorHAnsi" w:eastAsiaTheme="minorEastAsia" w:hAnsiTheme="minorHAnsi" w:cstheme="minorBidi"/>
              <w:noProof/>
              <w:sz w:val="22"/>
              <w:szCs w:val="22"/>
              <w:lang w:eastAsia="fi-FI"/>
            </w:rPr>
          </w:pPr>
          <w:hyperlink w:anchor="_Toc3469048" w:history="1">
            <w:r w:rsidRPr="005137E9">
              <w:rPr>
                <w:rStyle w:val="Hyperlinkki"/>
                <w:noProof/>
              </w:rPr>
              <w:t>Janne Kaippio: Education Committee</w:t>
            </w:r>
            <w:r>
              <w:rPr>
                <w:noProof/>
                <w:webHidden/>
              </w:rPr>
              <w:tab/>
            </w:r>
            <w:r>
              <w:rPr>
                <w:noProof/>
                <w:webHidden/>
              </w:rPr>
              <w:fldChar w:fldCharType="begin"/>
            </w:r>
            <w:r>
              <w:rPr>
                <w:noProof/>
                <w:webHidden/>
              </w:rPr>
              <w:instrText xml:space="preserve"> PAGEREF _Toc3469048 \h </w:instrText>
            </w:r>
            <w:r>
              <w:rPr>
                <w:noProof/>
                <w:webHidden/>
              </w:rPr>
            </w:r>
            <w:r>
              <w:rPr>
                <w:noProof/>
                <w:webHidden/>
              </w:rPr>
              <w:fldChar w:fldCharType="separate"/>
            </w:r>
            <w:r>
              <w:rPr>
                <w:noProof/>
                <w:webHidden/>
              </w:rPr>
              <w:t>2</w:t>
            </w:r>
            <w:r>
              <w:rPr>
                <w:noProof/>
                <w:webHidden/>
              </w:rPr>
              <w:fldChar w:fldCharType="end"/>
            </w:r>
          </w:hyperlink>
        </w:p>
        <w:p w:rsidR="00D42CBF" w:rsidRDefault="00D42CBF">
          <w:pPr>
            <w:pStyle w:val="Sisluet1"/>
            <w:rPr>
              <w:rFonts w:asciiTheme="minorHAnsi" w:eastAsiaTheme="minorEastAsia" w:hAnsiTheme="minorHAnsi" w:cstheme="minorBidi"/>
              <w:noProof/>
              <w:sz w:val="22"/>
              <w:szCs w:val="22"/>
              <w:lang w:eastAsia="fi-FI"/>
            </w:rPr>
          </w:pPr>
          <w:hyperlink w:anchor="_Toc3469049" w:history="1">
            <w:r w:rsidRPr="005137E9">
              <w:rPr>
                <w:rStyle w:val="Hyperlinkki"/>
                <w:noProof/>
              </w:rPr>
              <w:t>Mika Mäkinen: Pensions Committee</w:t>
            </w:r>
            <w:r>
              <w:rPr>
                <w:noProof/>
                <w:webHidden/>
              </w:rPr>
              <w:tab/>
            </w:r>
            <w:r>
              <w:rPr>
                <w:noProof/>
                <w:webHidden/>
              </w:rPr>
              <w:fldChar w:fldCharType="begin"/>
            </w:r>
            <w:r>
              <w:rPr>
                <w:noProof/>
                <w:webHidden/>
              </w:rPr>
              <w:instrText xml:space="preserve"> PAGEREF _Toc3469049 \h </w:instrText>
            </w:r>
            <w:r>
              <w:rPr>
                <w:noProof/>
                <w:webHidden/>
              </w:rPr>
            </w:r>
            <w:r>
              <w:rPr>
                <w:noProof/>
                <w:webHidden/>
              </w:rPr>
              <w:fldChar w:fldCharType="separate"/>
            </w:r>
            <w:r>
              <w:rPr>
                <w:noProof/>
                <w:webHidden/>
              </w:rPr>
              <w:t>2</w:t>
            </w:r>
            <w:r>
              <w:rPr>
                <w:noProof/>
                <w:webHidden/>
              </w:rPr>
              <w:fldChar w:fldCharType="end"/>
            </w:r>
          </w:hyperlink>
        </w:p>
        <w:p w:rsidR="00D42CBF" w:rsidRDefault="00D42CBF">
          <w:pPr>
            <w:pStyle w:val="Sisluet1"/>
            <w:rPr>
              <w:rFonts w:asciiTheme="minorHAnsi" w:eastAsiaTheme="minorEastAsia" w:hAnsiTheme="minorHAnsi" w:cstheme="minorBidi"/>
              <w:noProof/>
              <w:sz w:val="22"/>
              <w:szCs w:val="22"/>
              <w:lang w:eastAsia="fi-FI"/>
            </w:rPr>
          </w:pPr>
          <w:hyperlink w:anchor="_Toc3469050" w:history="1">
            <w:r w:rsidRPr="005137E9">
              <w:rPr>
                <w:rStyle w:val="Hyperlinkki"/>
                <w:noProof/>
              </w:rPr>
              <w:t>Ismo Risku: Social Security Subcommittee</w:t>
            </w:r>
            <w:r>
              <w:rPr>
                <w:noProof/>
                <w:webHidden/>
              </w:rPr>
              <w:tab/>
            </w:r>
            <w:r>
              <w:rPr>
                <w:noProof/>
                <w:webHidden/>
              </w:rPr>
              <w:fldChar w:fldCharType="begin"/>
            </w:r>
            <w:r>
              <w:rPr>
                <w:noProof/>
                <w:webHidden/>
              </w:rPr>
              <w:instrText xml:space="preserve"> PAGEREF _Toc3469050 \h </w:instrText>
            </w:r>
            <w:r>
              <w:rPr>
                <w:noProof/>
                <w:webHidden/>
              </w:rPr>
            </w:r>
            <w:r>
              <w:rPr>
                <w:noProof/>
                <w:webHidden/>
              </w:rPr>
              <w:fldChar w:fldCharType="separate"/>
            </w:r>
            <w:r>
              <w:rPr>
                <w:noProof/>
                <w:webHidden/>
              </w:rPr>
              <w:t>3</w:t>
            </w:r>
            <w:r>
              <w:rPr>
                <w:noProof/>
                <w:webHidden/>
              </w:rPr>
              <w:fldChar w:fldCharType="end"/>
            </w:r>
          </w:hyperlink>
        </w:p>
        <w:p w:rsidR="00D42CBF" w:rsidRDefault="00D42CBF">
          <w:pPr>
            <w:pStyle w:val="Sisluet1"/>
            <w:rPr>
              <w:rFonts w:asciiTheme="minorHAnsi" w:eastAsiaTheme="minorEastAsia" w:hAnsiTheme="minorHAnsi" w:cstheme="minorBidi"/>
              <w:noProof/>
              <w:sz w:val="22"/>
              <w:szCs w:val="22"/>
              <w:lang w:eastAsia="fi-FI"/>
            </w:rPr>
          </w:pPr>
          <w:hyperlink w:anchor="_Toc3469051" w:history="1">
            <w:r w:rsidRPr="005137E9">
              <w:rPr>
                <w:rStyle w:val="Hyperlinkki"/>
                <w:noProof/>
              </w:rPr>
              <w:t>Annina Pietinalho: Risk Management Committee</w:t>
            </w:r>
            <w:r>
              <w:rPr>
                <w:noProof/>
                <w:webHidden/>
              </w:rPr>
              <w:tab/>
            </w:r>
            <w:r>
              <w:rPr>
                <w:noProof/>
                <w:webHidden/>
              </w:rPr>
              <w:fldChar w:fldCharType="begin"/>
            </w:r>
            <w:r>
              <w:rPr>
                <w:noProof/>
                <w:webHidden/>
              </w:rPr>
              <w:instrText xml:space="preserve"> PAGEREF _Toc3469051 \h </w:instrText>
            </w:r>
            <w:r>
              <w:rPr>
                <w:noProof/>
                <w:webHidden/>
              </w:rPr>
            </w:r>
            <w:r>
              <w:rPr>
                <w:noProof/>
                <w:webHidden/>
              </w:rPr>
              <w:fldChar w:fldCharType="separate"/>
            </w:r>
            <w:r>
              <w:rPr>
                <w:noProof/>
                <w:webHidden/>
              </w:rPr>
              <w:t>3</w:t>
            </w:r>
            <w:r>
              <w:rPr>
                <w:noProof/>
                <w:webHidden/>
              </w:rPr>
              <w:fldChar w:fldCharType="end"/>
            </w:r>
          </w:hyperlink>
        </w:p>
        <w:p w:rsidR="00D42CBF" w:rsidRDefault="00D42CBF">
          <w:pPr>
            <w:pStyle w:val="Sisluet1"/>
            <w:rPr>
              <w:rFonts w:asciiTheme="minorHAnsi" w:eastAsiaTheme="minorEastAsia" w:hAnsiTheme="minorHAnsi" w:cstheme="minorBidi"/>
              <w:noProof/>
              <w:sz w:val="22"/>
              <w:szCs w:val="22"/>
              <w:lang w:eastAsia="fi-FI"/>
            </w:rPr>
          </w:pPr>
          <w:hyperlink w:anchor="_Toc3469052" w:history="1">
            <w:r w:rsidRPr="005137E9">
              <w:rPr>
                <w:rStyle w:val="Hyperlinkki"/>
                <w:noProof/>
              </w:rPr>
              <w:t>Hillevi Mannonen: Actuarial Standards Subcommittee</w:t>
            </w:r>
            <w:r>
              <w:rPr>
                <w:noProof/>
                <w:webHidden/>
              </w:rPr>
              <w:tab/>
            </w:r>
            <w:r>
              <w:rPr>
                <w:noProof/>
                <w:webHidden/>
              </w:rPr>
              <w:fldChar w:fldCharType="begin"/>
            </w:r>
            <w:r>
              <w:rPr>
                <w:noProof/>
                <w:webHidden/>
              </w:rPr>
              <w:instrText xml:space="preserve"> PAGEREF _Toc3469052 \h </w:instrText>
            </w:r>
            <w:r>
              <w:rPr>
                <w:noProof/>
                <w:webHidden/>
              </w:rPr>
            </w:r>
            <w:r>
              <w:rPr>
                <w:noProof/>
                <w:webHidden/>
              </w:rPr>
              <w:fldChar w:fldCharType="separate"/>
            </w:r>
            <w:r>
              <w:rPr>
                <w:noProof/>
                <w:webHidden/>
              </w:rPr>
              <w:t>3</w:t>
            </w:r>
            <w:r>
              <w:rPr>
                <w:noProof/>
                <w:webHidden/>
              </w:rPr>
              <w:fldChar w:fldCharType="end"/>
            </w:r>
          </w:hyperlink>
        </w:p>
        <w:p w:rsidR="00D42CBF" w:rsidRDefault="00D42CBF">
          <w:pPr>
            <w:pStyle w:val="Sisluet1"/>
            <w:rPr>
              <w:rFonts w:asciiTheme="minorHAnsi" w:eastAsiaTheme="minorEastAsia" w:hAnsiTheme="minorHAnsi" w:cstheme="minorBidi"/>
              <w:noProof/>
              <w:sz w:val="22"/>
              <w:szCs w:val="22"/>
              <w:lang w:eastAsia="fi-FI"/>
            </w:rPr>
          </w:pPr>
          <w:hyperlink w:anchor="_Toc3469053" w:history="1">
            <w:r w:rsidRPr="005137E9">
              <w:rPr>
                <w:rStyle w:val="Hyperlinkki"/>
                <w:noProof/>
              </w:rPr>
              <w:t>Pentti Soininen: Euroopan Aktuaariyhdistys (AAE) ja vakuutussopimusstandardi</w:t>
            </w:r>
            <w:r>
              <w:rPr>
                <w:noProof/>
                <w:webHidden/>
              </w:rPr>
              <w:tab/>
            </w:r>
            <w:r>
              <w:rPr>
                <w:noProof/>
                <w:webHidden/>
              </w:rPr>
              <w:fldChar w:fldCharType="begin"/>
            </w:r>
            <w:r>
              <w:rPr>
                <w:noProof/>
                <w:webHidden/>
              </w:rPr>
              <w:instrText xml:space="preserve"> PAGEREF _Toc3469053 \h </w:instrText>
            </w:r>
            <w:r>
              <w:rPr>
                <w:noProof/>
                <w:webHidden/>
              </w:rPr>
            </w:r>
            <w:r>
              <w:rPr>
                <w:noProof/>
                <w:webHidden/>
              </w:rPr>
              <w:fldChar w:fldCharType="separate"/>
            </w:r>
            <w:r>
              <w:rPr>
                <w:noProof/>
                <w:webHidden/>
              </w:rPr>
              <w:t>4</w:t>
            </w:r>
            <w:r>
              <w:rPr>
                <w:noProof/>
                <w:webHidden/>
              </w:rPr>
              <w:fldChar w:fldCharType="end"/>
            </w:r>
          </w:hyperlink>
        </w:p>
        <w:p w:rsidR="00CB2256" w:rsidRPr="00D42CBF" w:rsidRDefault="00D42CBF" w:rsidP="008B40C9">
          <w:r>
            <w:rPr>
              <w:b/>
              <w:bCs/>
            </w:rPr>
            <w:fldChar w:fldCharType="end"/>
          </w:r>
        </w:p>
      </w:sdtContent>
    </w:sdt>
    <w:p w:rsidR="00CB2256" w:rsidRPr="00CB2256" w:rsidRDefault="00CB2256" w:rsidP="00D42CBF">
      <w:pPr>
        <w:pStyle w:val="Otsikko1"/>
      </w:pPr>
      <w:bookmarkStart w:id="1" w:name="_Toc3469046"/>
      <w:r w:rsidRPr="00CB2256">
        <w:t xml:space="preserve">Esko Kivisaari: </w:t>
      </w:r>
      <w:proofErr w:type="spellStart"/>
      <w:r w:rsidRPr="00CB2256">
        <w:t>AAE:n</w:t>
      </w:r>
      <w:proofErr w:type="spellEnd"/>
      <w:r w:rsidRPr="00CB2256">
        <w:t xml:space="preserve"> puheenjohtajuus / </w:t>
      </w:r>
      <w:proofErr w:type="spellStart"/>
      <w:r w:rsidRPr="00CB2256">
        <w:t>Standards</w:t>
      </w:r>
      <w:proofErr w:type="spellEnd"/>
      <w:r w:rsidRPr="00CB2256">
        <w:t xml:space="preserve">, </w:t>
      </w:r>
      <w:proofErr w:type="spellStart"/>
      <w:r w:rsidRPr="00CB2256">
        <w:t>Freedoms</w:t>
      </w:r>
      <w:proofErr w:type="spellEnd"/>
      <w:r w:rsidRPr="00CB2256">
        <w:t xml:space="preserve"> and </w:t>
      </w:r>
      <w:proofErr w:type="spellStart"/>
      <w:r w:rsidRPr="00CB2256">
        <w:t>Professionalism</w:t>
      </w:r>
      <w:proofErr w:type="spellEnd"/>
      <w:r w:rsidRPr="00CB2256">
        <w:t xml:space="preserve"> </w:t>
      </w:r>
      <w:proofErr w:type="spellStart"/>
      <w:r w:rsidRPr="00CB2256">
        <w:t>Committee</w:t>
      </w:r>
      <w:proofErr w:type="spellEnd"/>
      <w:r w:rsidRPr="00CB2256">
        <w:t>/</w:t>
      </w:r>
      <w:bookmarkEnd w:id="1"/>
    </w:p>
    <w:p w:rsidR="00CB2256" w:rsidRPr="00CB2256" w:rsidRDefault="00CB2256" w:rsidP="00CB2256">
      <w:r w:rsidRPr="00CB2256">
        <w:t xml:space="preserve">Tärkein roolini on varmasti tällä hetkellä </w:t>
      </w:r>
      <w:proofErr w:type="spellStart"/>
      <w:r w:rsidRPr="00CB2256">
        <w:t>AAE:n</w:t>
      </w:r>
      <w:proofErr w:type="spellEnd"/>
      <w:r w:rsidRPr="00CB2256">
        <w:t xml:space="preserve"> puheenjohtajuus. Mielenkiintoinen haaste, erilaisia ihmisiä, ajatuksia ja tavoitteita. Niitä sitten sovitetaan yhteen.</w:t>
      </w:r>
    </w:p>
    <w:p w:rsidR="00CB2256" w:rsidRPr="00CB2256" w:rsidRDefault="00CB2256" w:rsidP="00CB2256"/>
    <w:p w:rsidR="00CB2256" w:rsidRPr="00CB2256" w:rsidRDefault="00CB2256" w:rsidP="00CB2256">
      <w:proofErr w:type="spellStart"/>
      <w:r w:rsidRPr="00CB2256">
        <w:t>AAE:ssa</w:t>
      </w:r>
      <w:proofErr w:type="spellEnd"/>
      <w:r w:rsidRPr="00CB2256">
        <w:t xml:space="preserve"> varsinainen kannanmuodostus tapahtuu komiteoissa. Liiton puheenjohtajan ja hallituksen tehtävä on mielestäni ennen kaikkea luoda edellytyksiä sille, että komiteatyö toimii ja on palkitsevaa siihen osallistuvien vapaaehtoisten kannalta. Toimivuudella tarkoitan sitä, että AAE saa muodostettua kannat EU:ssa käsiteltäviin asioihin.</w:t>
      </w:r>
    </w:p>
    <w:p w:rsidR="00CB2256" w:rsidRPr="00CB2256" w:rsidRDefault="00CB2256" w:rsidP="00CB2256"/>
    <w:p w:rsidR="00CB2256" w:rsidRPr="00CB2256" w:rsidRDefault="00CB2256" w:rsidP="00CB2256">
      <w:proofErr w:type="spellStart"/>
      <w:r w:rsidRPr="00CB2256">
        <w:t>AAE:n</w:t>
      </w:r>
      <w:proofErr w:type="spellEnd"/>
      <w:r w:rsidRPr="00CB2256">
        <w:t xml:space="preserve"> toiminnassa on tietysti paljon ihan normaalia organisaation pyörittämistä, budjetointia ja henkilöstön vaihdoksia. Kaksi isohkoa aluetta kuitenkin nousee ylitse muiden:</w:t>
      </w:r>
    </w:p>
    <w:p w:rsidR="00CB2256" w:rsidRPr="00CB2256" w:rsidRDefault="00CB2256" w:rsidP="00CB2256"/>
    <w:p w:rsidR="00CB2256" w:rsidRPr="00CB2256" w:rsidRDefault="00CB2256" w:rsidP="00CB2256">
      <w:r w:rsidRPr="00CB2256">
        <w:t>EU saa uuden parlamentin ja komission kuluvana vuotena. AAE valmistelee parhaillaan muutaman sivun viestiä siitä, mitä asioita se toivoo uusilta EU:n toimielimiltä. Aion kiertää vuoden aikana monena päivänä nykyisiä ja tulevia EU-päättäjiä Brysselissä tämän viestin kanssa.</w:t>
      </w:r>
    </w:p>
    <w:p w:rsidR="00CB2256" w:rsidRPr="00CB2256" w:rsidRDefault="00CB2256" w:rsidP="00CB2256">
      <w:r w:rsidRPr="00CB2256">
        <w:t xml:space="preserve">AAE järjestää kesäkuussa parin päivän kongressin Lissabonissa (ECA eli European </w:t>
      </w:r>
      <w:proofErr w:type="spellStart"/>
      <w:r w:rsidRPr="00CB2256">
        <w:t>Congress</w:t>
      </w:r>
      <w:proofErr w:type="spellEnd"/>
      <w:r w:rsidRPr="00CB2256">
        <w:t xml:space="preserve"> of </w:t>
      </w:r>
      <w:proofErr w:type="spellStart"/>
      <w:r w:rsidRPr="00CB2256">
        <w:t>Actuaries</w:t>
      </w:r>
      <w:proofErr w:type="spellEnd"/>
      <w:r w:rsidRPr="00CB2256">
        <w:t xml:space="preserve">). Toivon monien suomalaisten lähtevän mukaan, sillä uskon tilaisuuden olevan antoisa. Kannattaa ilmoittautua helmikuun loppuun mennessä, jolloin edullisempi </w:t>
      </w:r>
      <w:proofErr w:type="spellStart"/>
      <w:r w:rsidRPr="00CB2256">
        <w:t>early</w:t>
      </w:r>
      <w:proofErr w:type="spellEnd"/>
      <w:r w:rsidRPr="00CB2256">
        <w:t xml:space="preserve"> </w:t>
      </w:r>
      <w:proofErr w:type="spellStart"/>
      <w:r w:rsidRPr="00CB2256">
        <w:t>bird</w:t>
      </w:r>
      <w:proofErr w:type="spellEnd"/>
      <w:r w:rsidRPr="00CB2256">
        <w:t xml:space="preserve"> -hinta on vielä voimassa</w:t>
      </w:r>
    </w:p>
    <w:p w:rsidR="00CB2256" w:rsidRPr="00CB2256" w:rsidRDefault="00CB2256" w:rsidP="00CB2256">
      <w:r>
        <w:t xml:space="preserve"> </w:t>
      </w:r>
    </w:p>
    <w:p w:rsidR="00CB2256" w:rsidRPr="00CB2256" w:rsidRDefault="00CB2256" w:rsidP="00CB2256">
      <w:proofErr w:type="spellStart"/>
      <w:r w:rsidRPr="00CB2256">
        <w:t>AAE:n</w:t>
      </w:r>
      <w:proofErr w:type="spellEnd"/>
      <w:r w:rsidRPr="00CB2256">
        <w:t xml:space="preserve"> </w:t>
      </w:r>
      <w:proofErr w:type="spellStart"/>
      <w:r w:rsidRPr="00CB2256">
        <w:t>Professionalism</w:t>
      </w:r>
      <w:proofErr w:type="spellEnd"/>
      <w:r w:rsidRPr="00CB2256">
        <w:t xml:space="preserve">-komitea nimensä mukaisesti miettii jäsenyyden ehtoja ja aktuaaristandardeja ym. vastaavia asioita. Listalla on tällä hetkellä CPD eli </w:t>
      </w:r>
      <w:proofErr w:type="spellStart"/>
      <w:r w:rsidRPr="00CB2256">
        <w:t>continuous</w:t>
      </w:r>
      <w:proofErr w:type="spellEnd"/>
      <w:r w:rsidRPr="00CB2256">
        <w:t xml:space="preserve"> </w:t>
      </w:r>
      <w:proofErr w:type="spellStart"/>
      <w:r w:rsidRPr="00CB2256">
        <w:t>professional</w:t>
      </w:r>
      <w:proofErr w:type="spellEnd"/>
      <w:r w:rsidRPr="00CB2256">
        <w:t xml:space="preserve"> </w:t>
      </w:r>
      <w:proofErr w:type="spellStart"/>
      <w:r w:rsidRPr="00CB2256">
        <w:t>development</w:t>
      </w:r>
      <w:proofErr w:type="spellEnd"/>
      <w:r w:rsidRPr="00CB2256">
        <w:t xml:space="preserve">. Tätä kehittämään on asetettu työryhmä, jonka raporttia odotellaan. Odotettavissa on, että CPD-vaatimukset vähitellen kiristyvät. Tämän komitean piirissä kehitettiin tällä hetkellä voimassa oleva eettinen koodi eli </w:t>
      </w:r>
      <w:proofErr w:type="spellStart"/>
      <w:r w:rsidRPr="00CB2256">
        <w:t>code</w:t>
      </w:r>
      <w:proofErr w:type="spellEnd"/>
      <w:r w:rsidRPr="00CB2256">
        <w:t xml:space="preserve"> of </w:t>
      </w:r>
      <w:proofErr w:type="spellStart"/>
      <w:r w:rsidRPr="00CB2256">
        <w:t>conduct</w:t>
      </w:r>
      <w:proofErr w:type="spellEnd"/>
      <w:r w:rsidRPr="00CB2256">
        <w:t xml:space="preserve">, josta hiljattain pidettyyn </w:t>
      </w:r>
      <w:proofErr w:type="spellStart"/>
      <w:r w:rsidRPr="00CB2256">
        <w:t>webinaariin</w:t>
      </w:r>
      <w:proofErr w:type="spellEnd"/>
      <w:r w:rsidRPr="00CB2256">
        <w:t xml:space="preserve"> osallistui noin 150 henkeä. </w:t>
      </w:r>
      <w:proofErr w:type="spellStart"/>
      <w:r w:rsidRPr="00CB2256">
        <w:t>Professionalism</w:t>
      </w:r>
      <w:proofErr w:type="spellEnd"/>
      <w:r w:rsidRPr="00CB2256">
        <w:t xml:space="preserve">-komitea on </w:t>
      </w:r>
      <w:proofErr w:type="spellStart"/>
      <w:r w:rsidRPr="00CB2256">
        <w:t>AAE:ssa</w:t>
      </w:r>
      <w:proofErr w:type="spellEnd"/>
      <w:r w:rsidRPr="00CB2256">
        <w:t xml:space="preserve"> vastuussa kuluttajansuoja-asioista, ja sillä on oma työryhmänsä tätä asiaa varten. Työryhmän työn tuloksena AAE lähetti vastauksen PRIIPS-konsultaatioon (PRIIPS = </w:t>
      </w:r>
      <w:proofErr w:type="spellStart"/>
      <w:r w:rsidRPr="00CB2256">
        <w:t>Packaged</w:t>
      </w:r>
      <w:proofErr w:type="spellEnd"/>
      <w:r w:rsidRPr="00CB2256">
        <w:t xml:space="preserve"> Retail and Insurance-</w:t>
      </w:r>
      <w:proofErr w:type="spellStart"/>
      <w:r w:rsidRPr="00CB2256">
        <w:t>based</w:t>
      </w:r>
      <w:proofErr w:type="spellEnd"/>
      <w:r w:rsidRPr="00CB2256">
        <w:t xml:space="preserve"> </w:t>
      </w:r>
      <w:proofErr w:type="spellStart"/>
      <w:r w:rsidRPr="00CB2256">
        <w:t>Investment</w:t>
      </w:r>
      <w:proofErr w:type="spellEnd"/>
      <w:r w:rsidRPr="00CB2256">
        <w:t xml:space="preserve"> Products). Komitea tekee parhaillaan edelleen tutkimusta eri maissa aktuaarille asetettavista vaatimuksista ja katselee tuloksia seuraavassa kokouksessaan Sofiassa. Muun ohella komitealla on allaan aktuaaristandardien alakomitea. Uusia standardeja ei ole tällä hetkellä tekeillä, mutta sen sijaan standardirintamalla on tekeillä ensimmäiset ohjeistukset ORSA- ja IORP-standardeihin liittyen.</w:t>
      </w:r>
    </w:p>
    <w:p w:rsidR="00ED2300" w:rsidRDefault="00ED2300" w:rsidP="008B40C9">
      <w:pPr>
        <w:rPr>
          <w:b/>
          <w:sz w:val="28"/>
          <w:szCs w:val="28"/>
        </w:rPr>
      </w:pPr>
    </w:p>
    <w:p w:rsidR="00715C8C" w:rsidRDefault="00715C8C" w:rsidP="00D42CBF">
      <w:pPr>
        <w:pStyle w:val="Otsikko1"/>
      </w:pPr>
      <w:bookmarkStart w:id="2" w:name="_Toc3469047"/>
      <w:r w:rsidRPr="00781FC1">
        <w:lastRenderedPageBreak/>
        <w:t>Lauri Saraste</w:t>
      </w:r>
      <w:r w:rsidR="00EF0698">
        <w:t xml:space="preserve">: Insurance </w:t>
      </w:r>
      <w:proofErr w:type="spellStart"/>
      <w:r w:rsidR="00EF0698">
        <w:t>Committee</w:t>
      </w:r>
      <w:proofErr w:type="spellEnd"/>
      <w:r w:rsidR="00EF0698">
        <w:t xml:space="preserve"> ja sen alainen </w:t>
      </w:r>
      <w:proofErr w:type="spellStart"/>
      <w:r w:rsidR="00EF0698">
        <w:t>Solvency</w:t>
      </w:r>
      <w:proofErr w:type="spellEnd"/>
      <w:r w:rsidR="00EF0698">
        <w:t xml:space="preserve"> II </w:t>
      </w:r>
      <w:proofErr w:type="spellStart"/>
      <w:r w:rsidR="00EF0698">
        <w:t>Working</w:t>
      </w:r>
      <w:proofErr w:type="spellEnd"/>
      <w:r w:rsidR="00EF0698">
        <w:t xml:space="preserve"> Group</w:t>
      </w:r>
      <w:bookmarkEnd w:id="2"/>
    </w:p>
    <w:p w:rsidR="00EF0698" w:rsidRPr="00EF0698" w:rsidRDefault="00EF0698" w:rsidP="00EF0698">
      <w:proofErr w:type="spellStart"/>
      <w:r w:rsidRPr="00EF0698">
        <w:t>AE:n</w:t>
      </w:r>
      <w:proofErr w:type="spellEnd"/>
      <w:r w:rsidRPr="00EF0698">
        <w:t xml:space="preserve"> vakuutuskomitea oli aktiivinen vuonna 2018, kuten yleensäkin. Komitean työlistalla on laajasti Euroopan vakuutus alaa koskevat asiat joissa </w:t>
      </w:r>
      <w:proofErr w:type="spellStart"/>
      <w:r w:rsidRPr="00EF0698">
        <w:t>ns</w:t>
      </w:r>
      <w:proofErr w:type="spellEnd"/>
      <w:r w:rsidRPr="00EF0698">
        <w:t xml:space="preserve">-  aktuaarillinen kulma. Vuonna 2018 uudistettiin komitean työjärjestys, jossa tunnistettiin selkeämmin yhteys riskienhallinta ja eläkekomitean kanssa mutta myös rooli </w:t>
      </w:r>
      <w:proofErr w:type="spellStart"/>
      <w:r w:rsidRPr="00EF0698">
        <w:t>AAE:n</w:t>
      </w:r>
      <w:proofErr w:type="spellEnd"/>
      <w:r w:rsidRPr="00EF0698">
        <w:t xml:space="preserve"> hallituksen suuntaan. Tästä esimerkki mm. Vuonna 2018 myös uutena mallina käyttöön otettu näiden kolmen komitean yhteiskokous. Lisäksi minut valittiin vakuutuskomitean varapuheenjohtajaksi.</w:t>
      </w:r>
    </w:p>
    <w:p w:rsidR="00EF0698" w:rsidRPr="00EF0698" w:rsidRDefault="00EF0698" w:rsidP="00EF0698"/>
    <w:p w:rsidR="00EF0698" w:rsidRPr="00EF0698" w:rsidRDefault="00EF0698" w:rsidP="00EF0698">
      <w:proofErr w:type="spellStart"/>
      <w:r w:rsidRPr="00EF0698">
        <w:t>Solvenssi</w:t>
      </w:r>
      <w:proofErr w:type="spellEnd"/>
      <w:r w:rsidRPr="00EF0698">
        <w:t xml:space="preserve"> II kehitys vei komitealta paljon aikaa ja komitean alainen </w:t>
      </w:r>
      <w:proofErr w:type="spellStart"/>
      <w:r w:rsidRPr="00EF0698">
        <w:t>solvenssi</w:t>
      </w:r>
      <w:proofErr w:type="spellEnd"/>
      <w:r w:rsidRPr="00EF0698">
        <w:t xml:space="preserve"> II ohjausryhmä, jossa itsekin olen jäsenenä, perutettiin uudelleen. </w:t>
      </w:r>
      <w:proofErr w:type="spellStart"/>
      <w:r w:rsidRPr="00EF0698">
        <w:t>Solvenssi</w:t>
      </w:r>
      <w:proofErr w:type="spellEnd"/>
      <w:r w:rsidRPr="00EF0698">
        <w:t xml:space="preserve"> II:n osalta kiinnitettiin painopistealueet ja näille vetäjät liittyen vuoden 2020 muutospaketin valmisteluun. Vedän työryhmää</w:t>
      </w:r>
      <w:r w:rsidR="00EA6FAA">
        <w:t>,</w:t>
      </w:r>
      <w:r w:rsidRPr="00EF0698">
        <w:t xml:space="preserve"> joka valmistelee </w:t>
      </w:r>
      <w:proofErr w:type="spellStart"/>
      <w:r w:rsidRPr="00EF0698">
        <w:t>AAE:n</w:t>
      </w:r>
      <w:proofErr w:type="spellEnd"/>
      <w:r w:rsidRPr="00EF0698">
        <w:t xml:space="preserve"> työn korkokäyrän, korkoriskin, LTG-toimenpiteiden ja likviditeetin osalta.</w:t>
      </w:r>
    </w:p>
    <w:p w:rsidR="00EF0698" w:rsidRPr="00EF0698" w:rsidRDefault="00EF0698" w:rsidP="00EF0698"/>
    <w:p w:rsidR="00EF0698" w:rsidRPr="00EF0698" w:rsidRDefault="00EF0698" w:rsidP="00EF0698">
      <w:r w:rsidRPr="00EF0698">
        <w:t xml:space="preserve">Muita keskeisiä komitean töitä oli IFRS 17 ja vahinkovakuutus asiat jossa kummassakin omat alatyöryhmät. Lisäksi komitea työsti mm. kestävän kehityksen hankkeita, ORSA EAN paperia, GDPR vaatimuksia ja osallistui neuvotteluihin </w:t>
      </w:r>
      <w:proofErr w:type="spellStart"/>
      <w:r w:rsidRPr="00EF0698">
        <w:t>EIOPA:n</w:t>
      </w:r>
      <w:proofErr w:type="spellEnd"/>
      <w:r w:rsidRPr="00EF0698">
        <w:t xml:space="preserve"> ja Euroopan komission kanssa.</w:t>
      </w:r>
    </w:p>
    <w:p w:rsidR="00715C8C" w:rsidRDefault="00715C8C" w:rsidP="00715C8C"/>
    <w:p w:rsidR="00CB2256" w:rsidRPr="00CB2256" w:rsidRDefault="00CB2256" w:rsidP="00D42CBF">
      <w:pPr>
        <w:pStyle w:val="Otsikko1"/>
      </w:pPr>
      <w:bookmarkStart w:id="3" w:name="_Toc3469048"/>
      <w:r w:rsidRPr="00CB2256">
        <w:t xml:space="preserve">Janne Kaippio: </w:t>
      </w:r>
      <w:proofErr w:type="spellStart"/>
      <w:r w:rsidR="00715C8C" w:rsidRPr="00CB2256">
        <w:t>Education</w:t>
      </w:r>
      <w:proofErr w:type="spellEnd"/>
      <w:r w:rsidR="00715C8C" w:rsidRPr="00CB2256">
        <w:t xml:space="preserve"> </w:t>
      </w:r>
      <w:proofErr w:type="spellStart"/>
      <w:r w:rsidR="00715C8C" w:rsidRPr="00CB2256">
        <w:t>Committee</w:t>
      </w:r>
      <w:bookmarkEnd w:id="3"/>
      <w:proofErr w:type="spellEnd"/>
    </w:p>
    <w:p w:rsidR="00CB2256" w:rsidRPr="00CB2256" w:rsidRDefault="00CB2256" w:rsidP="00CB2256">
      <w:proofErr w:type="spellStart"/>
      <w:r w:rsidRPr="00CB2256">
        <w:t>AAE:n</w:t>
      </w:r>
      <w:proofErr w:type="spellEnd"/>
      <w:r w:rsidRPr="00CB2256">
        <w:t xml:space="preserve"> koulutustyöryhmän tavoitteena on kehittää aktuaarien koulutusta Euroopassa sekä jakaa kouluttautumiseen liittyvää tietoa eri Euroopan aktuaariyhdistysten välillä. Vuosien 2018 ja 2019 tärkein tavoite on kehittää eteenpäin Euroopan Aktuaarien koulutusstandardia (AAE </w:t>
      </w:r>
      <w:proofErr w:type="spellStart"/>
      <w:r w:rsidRPr="00CB2256">
        <w:t>Core</w:t>
      </w:r>
      <w:proofErr w:type="spellEnd"/>
      <w:r w:rsidRPr="00CB2256">
        <w:t xml:space="preserve"> </w:t>
      </w:r>
      <w:proofErr w:type="spellStart"/>
      <w:r w:rsidRPr="00CB2256">
        <w:t>Syllabus</w:t>
      </w:r>
      <w:proofErr w:type="spellEnd"/>
      <w:r w:rsidRPr="00CB2256">
        <w:t xml:space="preserve"> for </w:t>
      </w:r>
      <w:proofErr w:type="spellStart"/>
      <w:r w:rsidRPr="00CB2256">
        <w:t>Actuarial</w:t>
      </w:r>
      <w:proofErr w:type="spellEnd"/>
      <w:r w:rsidRPr="00CB2256">
        <w:t xml:space="preserve"> Training in Europe). Standardin kirjoitustyö on saatu valmiiksi vuoden 2018 aikana ja seuraavana askeleena on ottaa käyttöön uusi standardi Euroopassa (ml. lopullinen hyväksyntä </w:t>
      </w:r>
      <w:proofErr w:type="spellStart"/>
      <w:r w:rsidRPr="00CB2256">
        <w:t>AAE:n</w:t>
      </w:r>
      <w:proofErr w:type="spellEnd"/>
      <w:r w:rsidRPr="00CB2256">
        <w:t xml:space="preserve"> jäsenyhdistysten kesken) siirtymäsäännöksin.</w:t>
      </w:r>
    </w:p>
    <w:p w:rsidR="00CB2256" w:rsidRPr="00CB2256" w:rsidRDefault="00CB2256" w:rsidP="00CB2256"/>
    <w:p w:rsidR="00CB2256" w:rsidRPr="00CB2256" w:rsidRDefault="00CB2256" w:rsidP="00CB2256">
      <w:r w:rsidRPr="00CB2256">
        <w:t>Uuden koulutusstandardin tavoitteena on:</w:t>
      </w:r>
    </w:p>
    <w:p w:rsidR="00CB2256" w:rsidRPr="00CB2256" w:rsidRDefault="00CB2256" w:rsidP="00CB2256">
      <w:r w:rsidRPr="00CB2256">
        <w:t xml:space="preserve">-              </w:t>
      </w:r>
      <w:proofErr w:type="spellStart"/>
      <w:r w:rsidRPr="00CB2256">
        <w:t>The</w:t>
      </w:r>
      <w:proofErr w:type="spellEnd"/>
      <w:r w:rsidRPr="00CB2256">
        <w:t xml:space="preserve"> </w:t>
      </w:r>
      <w:proofErr w:type="spellStart"/>
      <w:r w:rsidRPr="00CB2256">
        <w:t>purpose</w:t>
      </w:r>
      <w:proofErr w:type="spellEnd"/>
      <w:r w:rsidRPr="00CB2256">
        <w:t xml:space="preserve"> of </w:t>
      </w:r>
      <w:proofErr w:type="spellStart"/>
      <w:r w:rsidRPr="00CB2256">
        <w:t>the</w:t>
      </w:r>
      <w:proofErr w:type="spellEnd"/>
      <w:r w:rsidRPr="00CB2256">
        <w:t xml:space="preserve"> AAE </w:t>
      </w:r>
      <w:proofErr w:type="spellStart"/>
      <w:r w:rsidRPr="00CB2256">
        <w:t>Core</w:t>
      </w:r>
      <w:proofErr w:type="spellEnd"/>
      <w:r w:rsidRPr="00CB2256">
        <w:t xml:space="preserve"> </w:t>
      </w:r>
      <w:proofErr w:type="spellStart"/>
      <w:r w:rsidRPr="00CB2256">
        <w:t>Syllabus</w:t>
      </w:r>
      <w:proofErr w:type="spellEnd"/>
      <w:r w:rsidRPr="00CB2256">
        <w:t xml:space="preserve"> is to </w:t>
      </w:r>
      <w:proofErr w:type="spellStart"/>
      <w:r w:rsidRPr="00CB2256">
        <w:t>define</w:t>
      </w:r>
      <w:proofErr w:type="spellEnd"/>
      <w:r w:rsidRPr="00CB2256">
        <w:t xml:space="preserve"> a </w:t>
      </w:r>
      <w:proofErr w:type="spellStart"/>
      <w:r w:rsidRPr="00CB2256">
        <w:t>common</w:t>
      </w:r>
      <w:proofErr w:type="spellEnd"/>
      <w:r w:rsidRPr="00CB2256">
        <w:t xml:space="preserve"> </w:t>
      </w:r>
      <w:proofErr w:type="spellStart"/>
      <w:r w:rsidRPr="00CB2256">
        <w:t>understanding</w:t>
      </w:r>
      <w:proofErr w:type="spellEnd"/>
      <w:r w:rsidRPr="00CB2256">
        <w:t xml:space="preserve"> and to </w:t>
      </w:r>
      <w:proofErr w:type="spellStart"/>
      <w:r w:rsidRPr="00CB2256">
        <w:t>achieve</w:t>
      </w:r>
      <w:proofErr w:type="spellEnd"/>
      <w:r w:rsidRPr="00CB2256">
        <w:t xml:space="preserve"> a </w:t>
      </w:r>
      <w:proofErr w:type="spellStart"/>
      <w:r w:rsidRPr="00CB2256">
        <w:t>harmonization</w:t>
      </w:r>
      <w:proofErr w:type="spellEnd"/>
      <w:r w:rsidRPr="00CB2256">
        <w:t xml:space="preserve"> of </w:t>
      </w:r>
      <w:proofErr w:type="spellStart"/>
      <w:r w:rsidRPr="00CB2256">
        <w:t>the</w:t>
      </w:r>
      <w:proofErr w:type="spellEnd"/>
      <w:r w:rsidRPr="00CB2256">
        <w:t xml:space="preserve"> </w:t>
      </w:r>
      <w:proofErr w:type="spellStart"/>
      <w:r w:rsidRPr="00CB2256">
        <w:t>actuarial</w:t>
      </w:r>
      <w:proofErr w:type="spellEnd"/>
      <w:r w:rsidRPr="00CB2256">
        <w:t xml:space="preserve"> </w:t>
      </w:r>
      <w:proofErr w:type="spellStart"/>
      <w:r w:rsidRPr="00CB2256">
        <w:t>education</w:t>
      </w:r>
      <w:proofErr w:type="spellEnd"/>
      <w:r w:rsidRPr="00CB2256">
        <w:t xml:space="preserve"> as </w:t>
      </w:r>
      <w:proofErr w:type="spellStart"/>
      <w:r w:rsidRPr="00CB2256">
        <w:t>laid</w:t>
      </w:r>
      <w:proofErr w:type="spellEnd"/>
      <w:r w:rsidRPr="00CB2256">
        <w:t xml:space="preserve"> out in </w:t>
      </w:r>
      <w:proofErr w:type="spellStart"/>
      <w:r w:rsidRPr="00CB2256">
        <w:t>the</w:t>
      </w:r>
      <w:proofErr w:type="spellEnd"/>
      <w:r w:rsidRPr="00CB2256">
        <w:t xml:space="preserve"> </w:t>
      </w:r>
      <w:proofErr w:type="spellStart"/>
      <w:r w:rsidRPr="00CB2256">
        <w:t>detailed</w:t>
      </w:r>
      <w:proofErr w:type="spellEnd"/>
      <w:r w:rsidRPr="00CB2256">
        <w:t xml:space="preserve"> </w:t>
      </w:r>
      <w:proofErr w:type="spellStart"/>
      <w:r w:rsidRPr="00CB2256">
        <w:t>learning</w:t>
      </w:r>
      <w:proofErr w:type="spellEnd"/>
      <w:r w:rsidRPr="00CB2256">
        <w:t xml:space="preserve"> </w:t>
      </w:r>
      <w:proofErr w:type="spellStart"/>
      <w:proofErr w:type="gramStart"/>
      <w:r w:rsidRPr="00CB2256">
        <w:t>areas</w:t>
      </w:r>
      <w:proofErr w:type="spellEnd"/>
      <w:r w:rsidRPr="00CB2256">
        <w:t xml:space="preserve">  (</w:t>
      </w:r>
      <w:proofErr w:type="spellStart"/>
      <w:proofErr w:type="gramEnd"/>
      <w:r w:rsidRPr="00CB2256">
        <w:t>part</w:t>
      </w:r>
      <w:proofErr w:type="spellEnd"/>
      <w:r w:rsidRPr="00CB2256">
        <w:t xml:space="preserve"> of AAE </w:t>
      </w:r>
      <w:proofErr w:type="spellStart"/>
      <w:r w:rsidRPr="00CB2256">
        <w:t>Core</w:t>
      </w:r>
      <w:proofErr w:type="spellEnd"/>
      <w:r w:rsidRPr="00CB2256">
        <w:t xml:space="preserve"> </w:t>
      </w:r>
      <w:proofErr w:type="spellStart"/>
      <w:r w:rsidRPr="00CB2256">
        <w:t>Syllabus</w:t>
      </w:r>
      <w:proofErr w:type="spellEnd"/>
      <w:r w:rsidRPr="00CB2256">
        <w:t xml:space="preserve">) </w:t>
      </w:r>
      <w:proofErr w:type="spellStart"/>
      <w:r w:rsidRPr="00CB2256">
        <w:t>throughout</w:t>
      </w:r>
      <w:proofErr w:type="spellEnd"/>
      <w:r w:rsidRPr="00CB2256">
        <w:t xml:space="preserve"> Full </w:t>
      </w:r>
      <w:proofErr w:type="spellStart"/>
      <w:r w:rsidRPr="00CB2256">
        <w:t>Membership</w:t>
      </w:r>
      <w:proofErr w:type="spellEnd"/>
      <w:r w:rsidRPr="00CB2256">
        <w:t xml:space="preserve"> </w:t>
      </w:r>
      <w:proofErr w:type="spellStart"/>
      <w:r w:rsidRPr="00CB2256">
        <w:t>Associations</w:t>
      </w:r>
      <w:proofErr w:type="spellEnd"/>
      <w:r w:rsidRPr="00CB2256">
        <w:t xml:space="preserve">. By </w:t>
      </w:r>
      <w:proofErr w:type="spellStart"/>
      <w:r w:rsidRPr="00CB2256">
        <w:t>that</w:t>
      </w:r>
      <w:proofErr w:type="spellEnd"/>
      <w:r w:rsidRPr="00CB2256">
        <w:t xml:space="preserve">, </w:t>
      </w:r>
      <w:proofErr w:type="spellStart"/>
      <w:r w:rsidRPr="00CB2256">
        <w:t>the</w:t>
      </w:r>
      <w:proofErr w:type="spellEnd"/>
      <w:r w:rsidRPr="00CB2256">
        <w:t xml:space="preserve"> </w:t>
      </w:r>
      <w:proofErr w:type="spellStart"/>
      <w:r w:rsidRPr="00CB2256">
        <w:t>Core</w:t>
      </w:r>
      <w:proofErr w:type="spellEnd"/>
      <w:r w:rsidRPr="00CB2256">
        <w:t xml:space="preserve"> </w:t>
      </w:r>
      <w:proofErr w:type="spellStart"/>
      <w:r w:rsidRPr="00CB2256">
        <w:t>Syllabus</w:t>
      </w:r>
      <w:proofErr w:type="spellEnd"/>
      <w:r w:rsidRPr="00CB2256">
        <w:t xml:space="preserve"> is </w:t>
      </w:r>
      <w:proofErr w:type="spellStart"/>
      <w:r w:rsidRPr="00CB2256">
        <w:t>intended</w:t>
      </w:r>
      <w:proofErr w:type="spellEnd"/>
      <w:r w:rsidRPr="00CB2256">
        <w:t xml:space="preserve"> to </w:t>
      </w:r>
      <w:proofErr w:type="spellStart"/>
      <w:r w:rsidRPr="00CB2256">
        <w:t>underpin</w:t>
      </w:r>
      <w:proofErr w:type="spellEnd"/>
      <w:r w:rsidRPr="00CB2256">
        <w:t xml:space="preserve"> </w:t>
      </w:r>
      <w:proofErr w:type="spellStart"/>
      <w:r w:rsidRPr="00CB2256">
        <w:t>the</w:t>
      </w:r>
      <w:proofErr w:type="spellEnd"/>
      <w:r w:rsidRPr="00CB2256">
        <w:t xml:space="preserve"> Mutual </w:t>
      </w:r>
      <w:proofErr w:type="spellStart"/>
      <w:r w:rsidRPr="00CB2256">
        <w:t>Recognition</w:t>
      </w:r>
      <w:proofErr w:type="spellEnd"/>
      <w:r w:rsidRPr="00CB2256">
        <w:t xml:space="preserve"> </w:t>
      </w:r>
      <w:proofErr w:type="spellStart"/>
      <w:r w:rsidRPr="00CB2256">
        <w:t>Agreeme</w:t>
      </w:r>
      <w:r>
        <w:t>nt</w:t>
      </w:r>
      <w:proofErr w:type="spellEnd"/>
      <w:r>
        <w:t xml:space="preserve"> and </w:t>
      </w:r>
      <w:proofErr w:type="spellStart"/>
      <w:r>
        <w:t>the</w:t>
      </w:r>
      <w:proofErr w:type="spellEnd"/>
      <w:r>
        <w:t xml:space="preserve"> </w:t>
      </w:r>
      <w:proofErr w:type="spellStart"/>
      <w:r>
        <w:t>Statutes</w:t>
      </w:r>
      <w:proofErr w:type="spellEnd"/>
      <w:r>
        <w:t xml:space="preserve"> of </w:t>
      </w:r>
      <w:proofErr w:type="spellStart"/>
      <w:r>
        <w:t>the</w:t>
      </w:r>
      <w:proofErr w:type="spellEnd"/>
      <w:r>
        <w:t xml:space="preserve"> AAE.</w:t>
      </w:r>
    </w:p>
    <w:p w:rsidR="00CB2256" w:rsidRPr="00CB2256" w:rsidRDefault="00CB2256" w:rsidP="00CB2256">
      <w:r w:rsidRPr="00CB2256">
        <w:t xml:space="preserve">-          </w:t>
      </w:r>
      <w:proofErr w:type="spellStart"/>
      <w:r w:rsidRPr="00CB2256">
        <w:t>The</w:t>
      </w:r>
      <w:proofErr w:type="spellEnd"/>
      <w:r w:rsidRPr="00CB2256">
        <w:t xml:space="preserve"> AAE </w:t>
      </w:r>
      <w:proofErr w:type="spellStart"/>
      <w:r w:rsidRPr="00CB2256">
        <w:t>Core</w:t>
      </w:r>
      <w:proofErr w:type="spellEnd"/>
      <w:r w:rsidRPr="00CB2256">
        <w:t xml:space="preserve"> </w:t>
      </w:r>
      <w:proofErr w:type="spellStart"/>
      <w:r w:rsidRPr="00CB2256">
        <w:t>Syllabus</w:t>
      </w:r>
      <w:proofErr w:type="spellEnd"/>
      <w:r w:rsidRPr="00CB2256">
        <w:t xml:space="preserve"> </w:t>
      </w:r>
      <w:proofErr w:type="spellStart"/>
      <w:r w:rsidRPr="00CB2256">
        <w:t>does</w:t>
      </w:r>
      <w:proofErr w:type="spellEnd"/>
      <w:r w:rsidRPr="00CB2256">
        <w:t xml:space="preserve"> </w:t>
      </w:r>
      <w:proofErr w:type="spellStart"/>
      <w:r w:rsidRPr="00CB2256">
        <w:t>not</w:t>
      </w:r>
      <w:proofErr w:type="spellEnd"/>
      <w:r w:rsidRPr="00CB2256">
        <w:t xml:space="preserve"> </w:t>
      </w:r>
      <w:proofErr w:type="spellStart"/>
      <w:r w:rsidRPr="00CB2256">
        <w:t>prescribe</w:t>
      </w:r>
      <w:proofErr w:type="spellEnd"/>
      <w:r w:rsidRPr="00CB2256">
        <w:t xml:space="preserve"> an </w:t>
      </w:r>
      <w:proofErr w:type="spellStart"/>
      <w:r w:rsidRPr="00CB2256">
        <w:t>education</w:t>
      </w:r>
      <w:proofErr w:type="spellEnd"/>
      <w:r w:rsidRPr="00CB2256">
        <w:t xml:space="preserve"> </w:t>
      </w:r>
      <w:proofErr w:type="spellStart"/>
      <w:r w:rsidRPr="00CB2256">
        <w:t>process</w:t>
      </w:r>
      <w:proofErr w:type="spellEnd"/>
      <w:r w:rsidRPr="00CB2256">
        <w:t xml:space="preserve">, </w:t>
      </w:r>
      <w:proofErr w:type="spellStart"/>
      <w:r w:rsidRPr="00CB2256">
        <w:t>leaving</w:t>
      </w:r>
      <w:proofErr w:type="spellEnd"/>
      <w:r w:rsidRPr="00CB2256">
        <w:t xml:space="preserve"> </w:t>
      </w:r>
      <w:proofErr w:type="spellStart"/>
      <w:r w:rsidRPr="00CB2256">
        <w:t>this</w:t>
      </w:r>
      <w:proofErr w:type="spellEnd"/>
      <w:r w:rsidRPr="00CB2256">
        <w:t xml:space="preserve"> to </w:t>
      </w:r>
      <w:proofErr w:type="spellStart"/>
      <w:r w:rsidRPr="00CB2256">
        <w:t>every</w:t>
      </w:r>
      <w:proofErr w:type="spellEnd"/>
      <w:r w:rsidRPr="00CB2256">
        <w:t xml:space="preserve"> </w:t>
      </w:r>
      <w:proofErr w:type="spellStart"/>
      <w:r w:rsidRPr="00CB2256">
        <w:t>national</w:t>
      </w:r>
      <w:proofErr w:type="spellEnd"/>
      <w:r w:rsidRPr="00CB2256">
        <w:t xml:space="preserve"> association. </w:t>
      </w:r>
      <w:proofErr w:type="spellStart"/>
      <w:r w:rsidRPr="00CB2256">
        <w:t>There</w:t>
      </w:r>
      <w:proofErr w:type="spellEnd"/>
      <w:r w:rsidRPr="00CB2256">
        <w:t xml:space="preserve"> </w:t>
      </w:r>
      <w:proofErr w:type="spellStart"/>
      <w:r w:rsidRPr="00CB2256">
        <w:t>are</w:t>
      </w:r>
      <w:proofErr w:type="spellEnd"/>
      <w:r w:rsidRPr="00CB2256">
        <w:t xml:space="preserve"> </w:t>
      </w:r>
      <w:proofErr w:type="spellStart"/>
      <w:r w:rsidRPr="00CB2256">
        <w:t>many</w:t>
      </w:r>
      <w:proofErr w:type="spellEnd"/>
      <w:r w:rsidRPr="00CB2256">
        <w:t xml:space="preserve"> </w:t>
      </w:r>
      <w:proofErr w:type="spellStart"/>
      <w:r w:rsidRPr="00CB2256">
        <w:t>different</w:t>
      </w:r>
      <w:proofErr w:type="spellEnd"/>
      <w:r w:rsidRPr="00CB2256">
        <w:t xml:space="preserve"> </w:t>
      </w:r>
      <w:proofErr w:type="spellStart"/>
      <w:r w:rsidRPr="00CB2256">
        <w:t>effective</w:t>
      </w:r>
      <w:proofErr w:type="spellEnd"/>
      <w:r w:rsidRPr="00CB2256">
        <w:t xml:space="preserve"> </w:t>
      </w:r>
      <w:proofErr w:type="spellStart"/>
      <w:r w:rsidRPr="00CB2256">
        <w:t>actuarial</w:t>
      </w:r>
      <w:proofErr w:type="spellEnd"/>
      <w:r w:rsidRPr="00CB2256">
        <w:t xml:space="preserve"> </w:t>
      </w:r>
      <w:proofErr w:type="spellStart"/>
      <w:r w:rsidRPr="00CB2256">
        <w:t>education</w:t>
      </w:r>
      <w:proofErr w:type="spellEnd"/>
      <w:r w:rsidRPr="00CB2256">
        <w:t xml:space="preserve"> and </w:t>
      </w:r>
      <w:proofErr w:type="spellStart"/>
      <w:r w:rsidRPr="00CB2256">
        <w:t>qualification</w:t>
      </w:r>
      <w:proofErr w:type="spellEnd"/>
      <w:r w:rsidRPr="00CB2256">
        <w:t xml:space="preserve"> </w:t>
      </w:r>
      <w:proofErr w:type="spellStart"/>
      <w:r w:rsidRPr="00CB2256">
        <w:t>programs</w:t>
      </w:r>
      <w:proofErr w:type="spellEnd"/>
      <w:r w:rsidRPr="00CB2256">
        <w:t xml:space="preserve"> </w:t>
      </w:r>
      <w:proofErr w:type="spellStart"/>
      <w:r w:rsidRPr="00CB2256">
        <w:t>which</w:t>
      </w:r>
      <w:proofErr w:type="spellEnd"/>
      <w:r w:rsidRPr="00CB2256">
        <w:t xml:space="preserve"> </w:t>
      </w:r>
      <w:proofErr w:type="spellStart"/>
      <w:r w:rsidRPr="00CB2256">
        <w:t>vary</w:t>
      </w:r>
      <w:proofErr w:type="spellEnd"/>
      <w:r w:rsidRPr="00CB2256">
        <w:t xml:space="preserve"> </w:t>
      </w:r>
      <w:proofErr w:type="spellStart"/>
      <w:r w:rsidRPr="00CB2256">
        <w:t>from</w:t>
      </w:r>
      <w:proofErr w:type="spellEnd"/>
      <w:r w:rsidRPr="00CB2256">
        <w:t xml:space="preserve"> </w:t>
      </w:r>
      <w:proofErr w:type="spellStart"/>
      <w:r w:rsidRPr="00CB2256">
        <w:t>organization</w:t>
      </w:r>
      <w:proofErr w:type="spellEnd"/>
      <w:r w:rsidRPr="00CB2256">
        <w:t xml:space="preserve"> to </w:t>
      </w:r>
      <w:proofErr w:type="spellStart"/>
      <w:r w:rsidRPr="00CB2256">
        <w:t>organization</w:t>
      </w:r>
      <w:proofErr w:type="spellEnd"/>
      <w:r w:rsidRPr="00CB2256">
        <w:t xml:space="preserve"> and </w:t>
      </w:r>
      <w:proofErr w:type="spellStart"/>
      <w:r w:rsidRPr="00CB2256">
        <w:t>from</w:t>
      </w:r>
      <w:proofErr w:type="spellEnd"/>
      <w:r w:rsidRPr="00CB2256">
        <w:t xml:space="preserve"> country to country.</w:t>
      </w:r>
    </w:p>
    <w:p w:rsidR="00CB2256" w:rsidRPr="00CB2256" w:rsidRDefault="00CB2256" w:rsidP="00CB2256">
      <w:r w:rsidRPr="00CB2256">
        <w:t xml:space="preserve">-          </w:t>
      </w:r>
      <w:proofErr w:type="spellStart"/>
      <w:r w:rsidRPr="00CB2256">
        <w:t>The</w:t>
      </w:r>
      <w:proofErr w:type="spellEnd"/>
      <w:r w:rsidRPr="00CB2256">
        <w:t xml:space="preserve"> AAE </w:t>
      </w:r>
      <w:proofErr w:type="spellStart"/>
      <w:r w:rsidRPr="00CB2256">
        <w:t>Core</w:t>
      </w:r>
      <w:proofErr w:type="spellEnd"/>
      <w:r w:rsidRPr="00CB2256">
        <w:t xml:space="preserve"> </w:t>
      </w:r>
      <w:proofErr w:type="spellStart"/>
      <w:r w:rsidRPr="00CB2256">
        <w:t>Syllabus</w:t>
      </w:r>
      <w:proofErr w:type="spellEnd"/>
      <w:r w:rsidRPr="00CB2256">
        <w:t xml:space="preserve"> </w:t>
      </w:r>
      <w:proofErr w:type="spellStart"/>
      <w:r w:rsidRPr="00CB2256">
        <w:t>also</w:t>
      </w:r>
      <w:proofErr w:type="spellEnd"/>
      <w:r w:rsidRPr="00CB2256">
        <w:t xml:space="preserve"> </w:t>
      </w:r>
      <w:proofErr w:type="spellStart"/>
      <w:r w:rsidRPr="00CB2256">
        <w:t>provides</w:t>
      </w:r>
      <w:proofErr w:type="spellEnd"/>
      <w:r w:rsidRPr="00CB2256">
        <w:t xml:space="preserve"> a </w:t>
      </w:r>
      <w:proofErr w:type="spellStart"/>
      <w:r w:rsidRPr="00CB2256">
        <w:t>tool</w:t>
      </w:r>
      <w:proofErr w:type="spellEnd"/>
      <w:r w:rsidRPr="00CB2256">
        <w:t xml:space="preserve"> to </w:t>
      </w:r>
      <w:proofErr w:type="spellStart"/>
      <w:r w:rsidRPr="00CB2256">
        <w:t>new</w:t>
      </w:r>
      <w:proofErr w:type="spellEnd"/>
      <w:r w:rsidRPr="00CB2256">
        <w:t xml:space="preserve"> </w:t>
      </w:r>
      <w:proofErr w:type="spellStart"/>
      <w:r w:rsidRPr="00CB2256">
        <w:t>national</w:t>
      </w:r>
      <w:proofErr w:type="spellEnd"/>
      <w:r w:rsidRPr="00CB2256">
        <w:t xml:space="preserve"> </w:t>
      </w:r>
      <w:proofErr w:type="spellStart"/>
      <w:r w:rsidRPr="00CB2256">
        <w:t>associations</w:t>
      </w:r>
      <w:proofErr w:type="spellEnd"/>
      <w:r w:rsidRPr="00CB2256">
        <w:t xml:space="preserve"> and </w:t>
      </w:r>
      <w:proofErr w:type="spellStart"/>
      <w:r w:rsidRPr="00CB2256">
        <w:t>education</w:t>
      </w:r>
      <w:proofErr w:type="spellEnd"/>
      <w:r w:rsidRPr="00CB2256">
        <w:t xml:space="preserve"> </w:t>
      </w:r>
      <w:proofErr w:type="spellStart"/>
      <w:r w:rsidRPr="00CB2256">
        <w:t>providers</w:t>
      </w:r>
      <w:proofErr w:type="spellEnd"/>
      <w:r w:rsidRPr="00CB2256">
        <w:t xml:space="preserve"> </w:t>
      </w:r>
      <w:proofErr w:type="spellStart"/>
      <w:r w:rsidRPr="00CB2256">
        <w:t>wishing</w:t>
      </w:r>
      <w:proofErr w:type="spellEnd"/>
      <w:r w:rsidRPr="00CB2256">
        <w:t xml:space="preserve"> to </w:t>
      </w:r>
      <w:proofErr w:type="spellStart"/>
      <w:r w:rsidRPr="00CB2256">
        <w:t>develop</w:t>
      </w:r>
      <w:proofErr w:type="spellEnd"/>
      <w:r w:rsidRPr="00CB2256">
        <w:t xml:space="preserve"> an </w:t>
      </w:r>
      <w:proofErr w:type="spellStart"/>
      <w:r w:rsidRPr="00CB2256">
        <w:t>actuarial</w:t>
      </w:r>
      <w:proofErr w:type="spellEnd"/>
      <w:r w:rsidRPr="00CB2256">
        <w:t xml:space="preserve"> </w:t>
      </w:r>
      <w:proofErr w:type="spellStart"/>
      <w:r w:rsidRPr="00CB2256">
        <w:t>education</w:t>
      </w:r>
      <w:proofErr w:type="spellEnd"/>
      <w:r w:rsidRPr="00CB2256">
        <w:t xml:space="preserve"> </w:t>
      </w:r>
      <w:proofErr w:type="spellStart"/>
      <w:r w:rsidRPr="00CB2256">
        <w:t>programme</w:t>
      </w:r>
      <w:proofErr w:type="spellEnd"/>
      <w:r w:rsidRPr="00CB2256">
        <w:t>.</w:t>
      </w:r>
    </w:p>
    <w:p w:rsidR="00CB2256" w:rsidRPr="00CB2256" w:rsidRDefault="00CB2256" w:rsidP="00CB2256"/>
    <w:p w:rsidR="00715C8C" w:rsidRPr="00CB2256" w:rsidRDefault="00CB2256" w:rsidP="00CB2256">
      <w:r w:rsidRPr="00CB2256">
        <w:t>Uusi koulutusstandardi vie erityisesti eteenpäin Aktuaarien koulutusvaatimuksia seuraavilla alueilla: data-analytiikka, riskienhallinta sekä aktuaariammatin harjoittamiseen liittyvät erityiskysymykset.</w:t>
      </w:r>
      <w:r w:rsidR="00715C8C" w:rsidRPr="00CB2256">
        <w:t xml:space="preserve"> </w:t>
      </w:r>
    </w:p>
    <w:p w:rsidR="00715C8C" w:rsidRDefault="00715C8C" w:rsidP="00715C8C"/>
    <w:p w:rsidR="00715C8C" w:rsidRDefault="00D42CBF" w:rsidP="00D42CBF">
      <w:pPr>
        <w:pStyle w:val="Otsikko1"/>
      </w:pPr>
      <w:bookmarkStart w:id="4" w:name="_Toc3469049"/>
      <w:r w:rsidRPr="00781FC1">
        <w:t>Mika Mäkinen</w:t>
      </w:r>
      <w:r>
        <w:t xml:space="preserve">: </w:t>
      </w:r>
      <w:proofErr w:type="spellStart"/>
      <w:r w:rsidR="00715C8C" w:rsidRPr="00781FC1">
        <w:t>Pensions</w:t>
      </w:r>
      <w:proofErr w:type="spellEnd"/>
      <w:r w:rsidR="00715C8C" w:rsidRPr="00781FC1">
        <w:t xml:space="preserve"> </w:t>
      </w:r>
      <w:proofErr w:type="spellStart"/>
      <w:r w:rsidR="00715C8C" w:rsidRPr="00781FC1">
        <w:t>Committee</w:t>
      </w:r>
      <w:bookmarkEnd w:id="4"/>
      <w:proofErr w:type="spellEnd"/>
      <w:r w:rsidR="00715C8C" w:rsidRPr="00781FC1">
        <w:t xml:space="preserve"> </w:t>
      </w:r>
    </w:p>
    <w:p w:rsidR="00D42CBF" w:rsidRDefault="00D42CBF" w:rsidP="00D42CBF">
      <w:r w:rsidRPr="00D816E0">
        <w:t xml:space="preserve">AAE Pension </w:t>
      </w:r>
      <w:proofErr w:type="spellStart"/>
      <w:r w:rsidRPr="00D816E0">
        <w:t>Committeessa</w:t>
      </w:r>
      <w:proofErr w:type="spellEnd"/>
      <w:r w:rsidRPr="00D816E0">
        <w:t xml:space="preserve"> </w:t>
      </w:r>
      <w:r>
        <w:t xml:space="preserve">käsitellään EU piirissä keskeisiä eläketeemoja ja ajankohtaisia asioita. Vuoden 2018 aikana suurinta kiinnostusta ja keskustelua on käyty IORP 2 muutoksista ja niiden implementoinnista eri maiden eläkejärjestelmiin. Toinen keskustelua herättänyt teema on Pan European Personal Pension (PEPP) regulaatioon liittyvät asiat. </w:t>
      </w:r>
      <w:proofErr w:type="spellStart"/>
      <w:r>
        <w:t>PEPP:n</w:t>
      </w:r>
      <w:proofErr w:type="spellEnd"/>
      <w:r>
        <w:t xml:space="preserve"> osalta on käyty varsin mielenkiintoista keskustelua sen eduista, haitoista ja tarpeellisuudesta.</w:t>
      </w:r>
    </w:p>
    <w:p w:rsidR="00D42CBF" w:rsidRDefault="00D42CBF" w:rsidP="00D42CBF"/>
    <w:p w:rsidR="00D42CBF" w:rsidRPr="00D816E0" w:rsidRDefault="00D42CBF" w:rsidP="00D42CBF">
      <w:r>
        <w:t>Kokouksissa käydään aina läpi myös keskeiset asiat mitä eri jäsenten kotimaissa on tapahtunut. Myös mukana on aika-ajoin muiden eurooppalaisten työryhmien edustajia kertomassa ajankohtaisia kuulumisia.</w:t>
      </w:r>
    </w:p>
    <w:p w:rsidR="00781FC1" w:rsidRPr="00781FC1" w:rsidRDefault="00781FC1" w:rsidP="00715C8C">
      <w:pPr>
        <w:rPr>
          <w:b/>
          <w:sz w:val="28"/>
          <w:szCs w:val="28"/>
        </w:rPr>
      </w:pPr>
    </w:p>
    <w:p w:rsidR="00715C8C" w:rsidRDefault="00CB2256" w:rsidP="00D42CBF">
      <w:pPr>
        <w:pStyle w:val="Otsikko1"/>
      </w:pPr>
      <w:bookmarkStart w:id="5" w:name="_Toc3469050"/>
      <w:r w:rsidRPr="00CB2256">
        <w:lastRenderedPageBreak/>
        <w:t xml:space="preserve">Ismo Risku: </w:t>
      </w:r>
      <w:proofErr w:type="spellStart"/>
      <w:r w:rsidR="00715C8C" w:rsidRPr="00CB2256">
        <w:t>Social</w:t>
      </w:r>
      <w:proofErr w:type="spellEnd"/>
      <w:r w:rsidR="00715C8C" w:rsidRPr="00CB2256">
        <w:t xml:space="preserve"> Security </w:t>
      </w:r>
      <w:proofErr w:type="spellStart"/>
      <w:r w:rsidR="00715C8C" w:rsidRPr="00CB2256">
        <w:t>Subcommittee</w:t>
      </w:r>
      <w:bookmarkEnd w:id="5"/>
      <w:proofErr w:type="spellEnd"/>
    </w:p>
    <w:p w:rsidR="00CB2256" w:rsidRDefault="00CB2256" w:rsidP="00CB2256">
      <w:pPr>
        <w:rPr>
          <w:rFonts w:cs="Times New Roman"/>
        </w:rPr>
      </w:pPr>
      <w:proofErr w:type="spellStart"/>
      <w:r>
        <w:rPr>
          <w:lang w:val="en-GB"/>
        </w:rPr>
        <w:t>Alakomitea</w:t>
      </w:r>
      <w:proofErr w:type="spellEnd"/>
      <w:r>
        <w:rPr>
          <w:lang w:val="en-GB"/>
        </w:rPr>
        <w:t xml:space="preserve"> </w:t>
      </w:r>
      <w:r w:rsidRPr="007F3F6F">
        <w:t>valmisteli vuoden 2018 aikana keskustelupaperin</w:t>
      </w:r>
      <w:r w:rsidRPr="007F3F6F">
        <w:rPr>
          <w:lang w:val="en-GB"/>
        </w:rPr>
        <w:t xml:space="preserve"> “</w:t>
      </w:r>
      <w:r w:rsidRPr="007F3F6F">
        <w:rPr>
          <w:rFonts w:cs="Times New Roman"/>
          <w:lang w:val="en-GB"/>
        </w:rPr>
        <w:t>Meeting the challenge of ageing in the EU”</w:t>
      </w:r>
      <w:r>
        <w:rPr>
          <w:rFonts w:cs="Times New Roman"/>
          <w:lang w:val="en-GB"/>
        </w:rPr>
        <w:t xml:space="preserve">. </w:t>
      </w:r>
      <w:r w:rsidRPr="007F3F6F">
        <w:rPr>
          <w:rFonts w:cs="Times New Roman"/>
        </w:rPr>
        <w:t>Paperissa arvioidaan</w:t>
      </w:r>
      <w:r>
        <w:rPr>
          <w:rFonts w:cs="Times New Roman"/>
        </w:rPr>
        <w:t xml:space="preserve"> ja kommentoidaan</w:t>
      </w:r>
      <w:r w:rsidRPr="007F3F6F">
        <w:rPr>
          <w:rFonts w:cs="Times New Roman"/>
        </w:rPr>
        <w:t xml:space="preserve"> EU:n komission julkaisemia väestön ikääntymiseen ja eläkkeisiin liittyvää kahta l</w:t>
      </w:r>
      <w:r>
        <w:rPr>
          <w:rFonts w:cs="Times New Roman"/>
        </w:rPr>
        <w:t xml:space="preserve">aajaa julkaisua, jotka ovat </w:t>
      </w:r>
      <w:r w:rsidRPr="007F3F6F">
        <w:rPr>
          <w:rFonts w:cs="Times New Roman"/>
          <w:lang w:val="en-GB"/>
        </w:rPr>
        <w:t>The Ageing Report 2018</w:t>
      </w:r>
      <w:r>
        <w:rPr>
          <w:rFonts w:cs="Times New Roman"/>
        </w:rPr>
        <w:t xml:space="preserve"> (AR18) ja </w:t>
      </w:r>
      <w:r w:rsidRPr="007F3F6F">
        <w:rPr>
          <w:rFonts w:cs="Times New Roman"/>
          <w:lang w:val="en-GB"/>
        </w:rPr>
        <w:t>Pension Adequacy Report</w:t>
      </w:r>
      <w:r>
        <w:rPr>
          <w:rFonts w:cs="Times New Roman"/>
        </w:rPr>
        <w:t xml:space="preserve"> 2018 (PAR18). Komissio julkaisee molemmat raportit kolmen vuoden välein. </w:t>
      </w:r>
      <w:r w:rsidRPr="007F3F6F">
        <w:rPr>
          <w:rFonts w:cs="Times New Roman"/>
          <w:lang w:val="en-GB"/>
        </w:rPr>
        <w:t>Ageing Report</w:t>
      </w:r>
      <w:r>
        <w:rPr>
          <w:rFonts w:cs="Times New Roman"/>
        </w:rPr>
        <w:t xml:space="preserve"> sisältää projektion EU</w:t>
      </w:r>
      <w:proofErr w:type="gramStart"/>
      <w:r>
        <w:rPr>
          <w:rFonts w:cs="Times New Roman"/>
        </w:rPr>
        <w:t>:n</w:t>
      </w:r>
      <w:proofErr w:type="gramEnd"/>
      <w:r>
        <w:rPr>
          <w:rFonts w:cs="Times New Roman"/>
        </w:rPr>
        <w:t xml:space="preserve"> jäsenvaltioiden ikäsidonnaisten julkisesti rahoitettujen menojen kehityksestä pitkälle tulevaisuuteen. Suuri osa tässä raportissa tehdyistä laskelmista on valmisteltu Komissiossa. Niiden pohjalla on yhteinen maakohtainen väestöennuste. Eläkemenoja koskevat laskelmat tehdään kuitenkin jäsenmaissa tosin yhteisesti sovituilla oletuksilla. Pension </w:t>
      </w:r>
      <w:proofErr w:type="spellStart"/>
      <w:r>
        <w:rPr>
          <w:rFonts w:cs="Times New Roman"/>
        </w:rPr>
        <w:t>Adequacy</w:t>
      </w:r>
      <w:proofErr w:type="spellEnd"/>
      <w:r>
        <w:rPr>
          <w:rFonts w:cs="Times New Roman"/>
        </w:rPr>
        <w:t xml:space="preserve"> Report puolestaan keskittyy nimensä mukaan eläkkeiden riittävyyteen ja eläkeläisten toimeentuloon. Tämäkin raportti on valmisteltu yhteistyössä Komission ja jäsenmaiden edustajien kanssa. </w:t>
      </w:r>
      <w:proofErr w:type="spellStart"/>
      <w:r>
        <w:rPr>
          <w:rFonts w:cs="Times New Roman"/>
        </w:rPr>
        <w:t>Social</w:t>
      </w:r>
      <w:proofErr w:type="spellEnd"/>
      <w:r>
        <w:rPr>
          <w:rFonts w:cs="Times New Roman"/>
        </w:rPr>
        <w:t xml:space="preserve"> Security Sub-</w:t>
      </w:r>
      <w:proofErr w:type="spellStart"/>
      <w:r>
        <w:rPr>
          <w:rFonts w:cs="Times New Roman"/>
        </w:rPr>
        <w:t>committeen</w:t>
      </w:r>
      <w:proofErr w:type="spellEnd"/>
      <w:r>
        <w:rPr>
          <w:rFonts w:cs="Times New Roman"/>
        </w:rPr>
        <w:t xml:space="preserve"> keskustelupaperilla on pitkä perinne. Keskustelupaperin valmistelun yhteydessä ja sen valmistuttua alakomitean edustajat ovat yhteydessä Komissioon. Keskustelupaperissa tuodaan esiin laskelmien oletuksia, aktuaarista näkökulmaa, kehitysehdotuksia ja hieman kritiikkiä. Keskustelupaperi esitellään ECA 2019:ssa Lissabonissa (European </w:t>
      </w:r>
      <w:proofErr w:type="spellStart"/>
      <w:r>
        <w:rPr>
          <w:rFonts w:cs="Times New Roman"/>
        </w:rPr>
        <w:t>Congress</w:t>
      </w:r>
      <w:proofErr w:type="spellEnd"/>
      <w:r>
        <w:rPr>
          <w:rFonts w:cs="Times New Roman"/>
        </w:rPr>
        <w:t xml:space="preserve"> of </w:t>
      </w:r>
      <w:proofErr w:type="spellStart"/>
      <w:r>
        <w:rPr>
          <w:rFonts w:cs="Times New Roman"/>
        </w:rPr>
        <w:t>Actuaries</w:t>
      </w:r>
      <w:proofErr w:type="spellEnd"/>
      <w:r>
        <w:rPr>
          <w:rFonts w:cs="Times New Roman"/>
        </w:rPr>
        <w:t xml:space="preserve">). </w:t>
      </w:r>
    </w:p>
    <w:p w:rsidR="00715C8C" w:rsidRDefault="00715C8C" w:rsidP="00715C8C"/>
    <w:p w:rsidR="00EF0698" w:rsidRDefault="00781FC1" w:rsidP="00D42CBF">
      <w:pPr>
        <w:pStyle w:val="Otsikko1"/>
      </w:pPr>
      <w:bookmarkStart w:id="6" w:name="_Toc3469051"/>
      <w:r w:rsidRPr="00781FC1">
        <w:t>Annina Pietinalho</w:t>
      </w:r>
      <w:r>
        <w:t xml:space="preserve">: </w:t>
      </w:r>
      <w:proofErr w:type="spellStart"/>
      <w:r w:rsidR="00715C8C" w:rsidRPr="00781FC1">
        <w:t>Risk</w:t>
      </w:r>
      <w:proofErr w:type="spellEnd"/>
      <w:r w:rsidR="00715C8C" w:rsidRPr="00781FC1">
        <w:t xml:space="preserve"> Management </w:t>
      </w:r>
      <w:proofErr w:type="spellStart"/>
      <w:r w:rsidR="00715C8C" w:rsidRPr="00781FC1">
        <w:t>Committee</w:t>
      </w:r>
      <w:bookmarkEnd w:id="6"/>
      <w:proofErr w:type="spellEnd"/>
    </w:p>
    <w:p w:rsidR="00EF0698" w:rsidRPr="00EF0698" w:rsidRDefault="00EF0698" w:rsidP="00EF0698">
      <w:r w:rsidRPr="00EF0698">
        <w:t xml:space="preserve">Vuosi 2018 oli </w:t>
      </w:r>
      <w:proofErr w:type="spellStart"/>
      <w:r w:rsidRPr="00EF0698">
        <w:t>AAE:n</w:t>
      </w:r>
      <w:proofErr w:type="spellEnd"/>
      <w:r w:rsidRPr="00EF0698">
        <w:t xml:space="preserve"> Riskienhallintakomitean ensimmäinen vuosi. Komitea syntyi</w:t>
      </w:r>
      <w:r w:rsidR="00D42CBF">
        <w:t>,</w:t>
      </w:r>
      <w:r w:rsidRPr="00EF0698">
        <w:t xml:space="preserve"> kun aikaisemmin sijoitusriskeihin keskittynyt komitea ja riskienhallintatyöryhmä yhdistettiin. Komitealla on </w:t>
      </w:r>
      <w:proofErr w:type="spellStart"/>
      <w:r w:rsidRPr="00EF0698">
        <w:t>AAE:n</w:t>
      </w:r>
      <w:proofErr w:type="spellEnd"/>
      <w:r w:rsidRPr="00EF0698">
        <w:t xml:space="preserve"> kokousmateriaaleista löytyvä työsuunnitelma, josta löytyy kaikki tehtäväkokonaisuudet ja näiden vastuuhenkilöt.</w:t>
      </w:r>
    </w:p>
    <w:p w:rsidR="00EF0698" w:rsidRPr="00EF0698" w:rsidRDefault="00EF0698" w:rsidP="00EF0698"/>
    <w:p w:rsidR="00EF0698" w:rsidRPr="00EF0698" w:rsidRDefault="00EF0698" w:rsidP="00EF0698">
      <w:r w:rsidRPr="00EF0698">
        <w:t xml:space="preserve">Yleisinä asioida komiteassa seurataan </w:t>
      </w:r>
      <w:proofErr w:type="spellStart"/>
      <w:r w:rsidRPr="00EF0698">
        <w:t>AAE:n</w:t>
      </w:r>
      <w:proofErr w:type="spellEnd"/>
      <w:r w:rsidRPr="00EF0698">
        <w:t xml:space="preserve"> </w:t>
      </w:r>
      <w:proofErr w:type="spellStart"/>
      <w:r w:rsidRPr="00EF0698">
        <w:t>Solvency</w:t>
      </w:r>
      <w:proofErr w:type="spellEnd"/>
      <w:r w:rsidRPr="00EF0698">
        <w:t xml:space="preserve"> II ja IFRS17 työryhmien toimintaa riskienhallinnan näkökulmasta ja kokousmateriaaleissa molemmista erinomaiset esitykset, jos aihe ja sen muutossuunnitelmat liippaavat läheltä omaa työtä. Yleishyödyllisenä vinkkinä mainittakoon myös Irlannin aktuaariyhdistyksen kokoama tietokanta riskienhallintaan liittyvistä artikkeleista (https://web.actuaries.ie/press/erm-library).</w:t>
      </w:r>
    </w:p>
    <w:p w:rsidR="00EF0698" w:rsidRPr="00EF0698" w:rsidRDefault="00EF0698" w:rsidP="00EF0698"/>
    <w:p w:rsidR="00715C8C" w:rsidRPr="00EF0698" w:rsidRDefault="00EF0698" w:rsidP="00715C8C">
      <w:r w:rsidRPr="00EF0698">
        <w:t xml:space="preserve">Vuoden aikana on aloitettu ja edistetty useita tehtäväkokonaisuuksia. Konkreettisia tuloksia vuoden 2018 aikana olivat syksyllä järjestetty ”CRO </w:t>
      </w:r>
      <w:proofErr w:type="spellStart"/>
      <w:r w:rsidRPr="00EF0698">
        <w:t>round</w:t>
      </w:r>
      <w:proofErr w:type="spellEnd"/>
      <w:r w:rsidRPr="00EF0698">
        <w:t xml:space="preserve"> </w:t>
      </w:r>
      <w:proofErr w:type="spellStart"/>
      <w:r w:rsidRPr="00EF0698">
        <w:t>table</w:t>
      </w:r>
      <w:proofErr w:type="spellEnd"/>
      <w:r w:rsidRPr="00EF0698">
        <w:t>” tapahtuma sekä ”</w:t>
      </w:r>
      <w:proofErr w:type="spellStart"/>
      <w:r w:rsidRPr="00EF0698">
        <w:t>Promotion</w:t>
      </w:r>
      <w:proofErr w:type="spellEnd"/>
      <w:r w:rsidRPr="00EF0698">
        <w:t xml:space="preserve"> of </w:t>
      </w:r>
      <w:proofErr w:type="spellStart"/>
      <w:r w:rsidRPr="00EF0698">
        <w:t>actuaries</w:t>
      </w:r>
      <w:proofErr w:type="spellEnd"/>
      <w:r w:rsidRPr="00EF0698">
        <w:t xml:space="preserve"> in </w:t>
      </w:r>
      <w:proofErr w:type="spellStart"/>
      <w:r w:rsidRPr="00EF0698">
        <w:t>Risk</w:t>
      </w:r>
      <w:proofErr w:type="spellEnd"/>
      <w:r w:rsidRPr="00EF0698">
        <w:t xml:space="preserve"> Management” dokumentti. ”CRO </w:t>
      </w:r>
      <w:proofErr w:type="spellStart"/>
      <w:r w:rsidRPr="00EF0698">
        <w:t>round</w:t>
      </w:r>
      <w:proofErr w:type="spellEnd"/>
      <w:r w:rsidRPr="00EF0698">
        <w:t xml:space="preserve"> </w:t>
      </w:r>
      <w:proofErr w:type="spellStart"/>
      <w:r w:rsidRPr="00EF0698">
        <w:t>table</w:t>
      </w:r>
      <w:proofErr w:type="spellEnd"/>
      <w:r w:rsidRPr="00EF0698">
        <w:t>” tapahtuman tavoitteena oli tuoda yhteen riskienhallintajohtajina toimivia aktuaareja ajankohtaisen asioiden äärelle sekä verkostoitumisen että kouluttautumisen näkökulmalla. ”</w:t>
      </w:r>
      <w:proofErr w:type="spellStart"/>
      <w:r w:rsidRPr="00EF0698">
        <w:t>Promotion</w:t>
      </w:r>
      <w:proofErr w:type="spellEnd"/>
      <w:r w:rsidRPr="00EF0698">
        <w:t xml:space="preserve"> of </w:t>
      </w:r>
      <w:proofErr w:type="spellStart"/>
      <w:r w:rsidRPr="00EF0698">
        <w:t>actuaries</w:t>
      </w:r>
      <w:proofErr w:type="spellEnd"/>
      <w:r w:rsidRPr="00EF0698">
        <w:t xml:space="preserve"> in </w:t>
      </w:r>
      <w:proofErr w:type="spellStart"/>
      <w:r w:rsidRPr="00EF0698">
        <w:t>Risk</w:t>
      </w:r>
      <w:proofErr w:type="spellEnd"/>
      <w:r w:rsidRPr="00EF0698">
        <w:t xml:space="preserve"> Management” työkokonaisuuden tavoitteena on vahvistaa aktuaarien roolia riskienhallintatehtävissä (myös vakuutusalan ulkopuolella) ja toisaalta tukea aktuaareja riskienhallintatyössä mm. suunnitella lisäkoulutusta ei-niin-perinteisten kvantitatiivisten riskien osalta (mm. strategiset riskit).</w:t>
      </w:r>
      <w:r w:rsidR="00715C8C" w:rsidRPr="00781FC1">
        <w:rPr>
          <w:b/>
          <w:sz w:val="28"/>
          <w:szCs w:val="28"/>
        </w:rPr>
        <w:t xml:space="preserve"> </w:t>
      </w:r>
    </w:p>
    <w:p w:rsidR="00781FC1" w:rsidRDefault="00781FC1" w:rsidP="00715C8C">
      <w:pPr>
        <w:rPr>
          <w:b/>
          <w:sz w:val="28"/>
          <w:szCs w:val="28"/>
        </w:rPr>
      </w:pPr>
    </w:p>
    <w:p w:rsidR="00781FC1" w:rsidRDefault="00781FC1" w:rsidP="00D42CBF">
      <w:pPr>
        <w:pStyle w:val="Otsikko1"/>
      </w:pPr>
      <w:bookmarkStart w:id="7" w:name="_Toc3469052"/>
      <w:r>
        <w:t xml:space="preserve">Hillevi Mannonen: </w:t>
      </w:r>
      <w:proofErr w:type="spellStart"/>
      <w:r w:rsidRPr="00781FC1">
        <w:t>Actuarial</w:t>
      </w:r>
      <w:proofErr w:type="spellEnd"/>
      <w:r w:rsidRPr="00781FC1">
        <w:t xml:space="preserve"> </w:t>
      </w:r>
      <w:proofErr w:type="spellStart"/>
      <w:r w:rsidRPr="00781FC1">
        <w:t>Standards</w:t>
      </w:r>
      <w:proofErr w:type="spellEnd"/>
      <w:r w:rsidRPr="00781FC1">
        <w:t xml:space="preserve"> </w:t>
      </w:r>
      <w:proofErr w:type="spellStart"/>
      <w:r w:rsidRPr="00781FC1">
        <w:t>Subcommittee</w:t>
      </w:r>
      <w:bookmarkEnd w:id="7"/>
      <w:proofErr w:type="spellEnd"/>
    </w:p>
    <w:p w:rsidR="00781FC1" w:rsidRPr="00781FC1" w:rsidRDefault="00781FC1" w:rsidP="00715C8C">
      <w:r w:rsidRPr="00781FC1">
        <w:t xml:space="preserve">Standardialakomitea (ASSC) perustettiin aikaisemman työryhmän </w:t>
      </w:r>
      <w:proofErr w:type="spellStart"/>
      <w:r w:rsidRPr="00781FC1">
        <w:t>Standards</w:t>
      </w:r>
      <w:proofErr w:type="spellEnd"/>
      <w:r w:rsidRPr="00781FC1">
        <w:t xml:space="preserve"> Project Team (SPT) tilalle, samalla henkilökokoonpanolla. Alakomitea raportoi edelleen </w:t>
      </w:r>
      <w:proofErr w:type="spellStart"/>
      <w:r w:rsidRPr="00781FC1">
        <w:t>Professionalism</w:t>
      </w:r>
      <w:proofErr w:type="spellEnd"/>
      <w:r w:rsidRPr="00781FC1">
        <w:t xml:space="preserve">-komitealle. SPT oli laatinut ehdotuksen alakomitean tehtävästä sekä tehnyt ehdotuksen prosessista, olla </w:t>
      </w:r>
      <w:proofErr w:type="spellStart"/>
      <w:r w:rsidRPr="00781FC1">
        <w:t>AAE:n</w:t>
      </w:r>
      <w:proofErr w:type="spellEnd"/>
      <w:r w:rsidRPr="00781FC1">
        <w:t xml:space="preserve"> mallistandardit valmistellaan ja hyväksytään (</w:t>
      </w:r>
      <w:proofErr w:type="spellStart"/>
      <w:r w:rsidRPr="00781FC1">
        <w:t>Due</w:t>
      </w:r>
      <w:proofErr w:type="spellEnd"/>
      <w:r w:rsidRPr="00781FC1">
        <w:t xml:space="preserve"> </w:t>
      </w:r>
      <w:proofErr w:type="spellStart"/>
      <w:r w:rsidRPr="00781FC1">
        <w:t>Process</w:t>
      </w:r>
      <w:proofErr w:type="spellEnd"/>
      <w:r w:rsidRPr="00781FC1">
        <w:t xml:space="preserve"> for </w:t>
      </w:r>
      <w:proofErr w:type="spellStart"/>
      <w:r w:rsidRPr="00781FC1">
        <w:t>Developing</w:t>
      </w:r>
      <w:proofErr w:type="spellEnd"/>
      <w:r w:rsidRPr="00781FC1">
        <w:t xml:space="preserve"> </w:t>
      </w:r>
      <w:proofErr w:type="spellStart"/>
      <w:r w:rsidRPr="00781FC1">
        <w:t>the</w:t>
      </w:r>
      <w:proofErr w:type="spellEnd"/>
      <w:r w:rsidRPr="00781FC1">
        <w:t xml:space="preserve"> </w:t>
      </w:r>
      <w:proofErr w:type="spellStart"/>
      <w:r w:rsidRPr="00781FC1">
        <w:t>ESAPs</w:t>
      </w:r>
      <w:proofErr w:type="spellEnd"/>
      <w:r w:rsidRPr="00781FC1">
        <w:t xml:space="preserve">). Molemmat hyväksyttiin syksyn kokouksessa. Lisäksi alakomitea sai tehtäväkseen valmistella vastaavat menettelyt European </w:t>
      </w:r>
      <w:proofErr w:type="spellStart"/>
      <w:r w:rsidRPr="00781FC1">
        <w:t>Actuarial</w:t>
      </w:r>
      <w:proofErr w:type="spellEnd"/>
      <w:r w:rsidRPr="00781FC1">
        <w:t xml:space="preserve"> </w:t>
      </w:r>
      <w:proofErr w:type="spellStart"/>
      <w:r w:rsidRPr="00781FC1">
        <w:t>Note</w:t>
      </w:r>
      <w:proofErr w:type="spellEnd"/>
      <w:r w:rsidRPr="00781FC1">
        <w:t xml:space="preserve"> -suositusten osalta. Alakomitean työlistalla on parhaillaan myös valmistella </w:t>
      </w:r>
      <w:proofErr w:type="spellStart"/>
      <w:r w:rsidRPr="00781FC1">
        <w:t>AAE:n</w:t>
      </w:r>
      <w:proofErr w:type="spellEnd"/>
      <w:r w:rsidRPr="00781FC1">
        <w:t xml:space="preserve"> toimenpidesuositus ISAP1:n muutosten huomioonottamisesta ESAP 1:ssä. Alakomitea työskentelee puhelinkokousten ja sähköpostikeskustelujen kautta.</w:t>
      </w:r>
    </w:p>
    <w:p w:rsidR="00715C8C" w:rsidRDefault="00715C8C" w:rsidP="00715C8C"/>
    <w:p w:rsidR="00CB2256" w:rsidRDefault="00CB2256" w:rsidP="00D42CBF">
      <w:pPr>
        <w:pStyle w:val="Otsikko1"/>
      </w:pPr>
      <w:bookmarkStart w:id="8" w:name="_Toc3469053"/>
      <w:r w:rsidRPr="00CB2256">
        <w:lastRenderedPageBreak/>
        <w:t>Pentti Soininen: Euroopan Aktuaariyhdistys (AAE) ja vakuutussopimusstandardi</w:t>
      </w:r>
      <w:bookmarkEnd w:id="8"/>
    </w:p>
    <w:p w:rsidR="00CB2256" w:rsidRPr="00CB2256" w:rsidRDefault="00CB2256" w:rsidP="00CB2256">
      <w:pPr>
        <w:pStyle w:val="Default"/>
        <w:spacing w:after="160"/>
        <w:rPr>
          <w:rFonts w:ascii="Times New Roman" w:hAnsi="Times New Roman" w:cstheme="minorHAnsi"/>
          <w:color w:val="auto"/>
        </w:rPr>
      </w:pPr>
      <w:r w:rsidRPr="00CB2256">
        <w:rPr>
          <w:rFonts w:ascii="Times New Roman" w:hAnsi="Times New Roman" w:cstheme="minorHAnsi"/>
          <w:color w:val="auto"/>
        </w:rPr>
        <w:t xml:space="preserve">Jotta vakuutussopimusstandardi tulisi lakisääteisenä voimaan EU:ssa, se tulee hyväksyä EU:ssa. Asiassa Komissiolle antaa neuvonsa EFRAG (European Financial Reporting </w:t>
      </w:r>
      <w:proofErr w:type="spellStart"/>
      <w:r w:rsidRPr="00CB2256">
        <w:rPr>
          <w:rFonts w:ascii="Times New Roman" w:hAnsi="Times New Roman" w:cstheme="minorHAnsi"/>
          <w:color w:val="auto"/>
        </w:rPr>
        <w:t>Advisory</w:t>
      </w:r>
      <w:proofErr w:type="spellEnd"/>
      <w:r w:rsidRPr="00CB2256">
        <w:rPr>
          <w:rFonts w:ascii="Times New Roman" w:hAnsi="Times New Roman" w:cstheme="minorHAnsi"/>
          <w:color w:val="auto"/>
        </w:rPr>
        <w:t xml:space="preserve"> Group). </w:t>
      </w:r>
      <w:proofErr w:type="spellStart"/>
      <w:r w:rsidRPr="00CB2256">
        <w:rPr>
          <w:rFonts w:ascii="Times New Roman" w:hAnsi="Times New Roman" w:cstheme="minorHAnsi"/>
          <w:color w:val="auto"/>
        </w:rPr>
        <w:t>EF-RAG:ssa</w:t>
      </w:r>
      <w:proofErr w:type="spellEnd"/>
      <w:r w:rsidRPr="00CB2256">
        <w:rPr>
          <w:rFonts w:ascii="Times New Roman" w:hAnsi="Times New Roman" w:cstheme="minorHAnsi"/>
          <w:color w:val="auto"/>
        </w:rPr>
        <w:t xml:space="preserve"> asiaa valmistelevassa työryhmässä on aktuaareilla yksi edustus, jonka vuonna 2018 perustetussa tukiryhmässä olen toiminut. Tukiryhmä perustettiin ennen kuin IASB ryhtyi </w:t>
      </w:r>
      <w:proofErr w:type="spellStart"/>
      <w:r w:rsidRPr="00CB2256">
        <w:rPr>
          <w:rFonts w:ascii="Times New Roman" w:hAnsi="Times New Roman" w:cstheme="minorHAnsi"/>
          <w:color w:val="auto"/>
        </w:rPr>
        <w:t>muutta</w:t>
      </w:r>
      <w:proofErr w:type="spellEnd"/>
      <w:r w:rsidRPr="00CB2256">
        <w:rPr>
          <w:rFonts w:ascii="Times New Roman" w:hAnsi="Times New Roman" w:cstheme="minorHAnsi"/>
          <w:color w:val="auto"/>
        </w:rPr>
        <w:t xml:space="preserve">-maan standardia. Koska standardin lopullinen muoto ei olekaan vielä tiedossa, </w:t>
      </w:r>
      <w:proofErr w:type="spellStart"/>
      <w:r w:rsidRPr="00CB2256">
        <w:rPr>
          <w:rFonts w:ascii="Times New Roman" w:hAnsi="Times New Roman" w:cstheme="minorHAnsi"/>
          <w:color w:val="auto"/>
        </w:rPr>
        <w:t>EFRAG:n</w:t>
      </w:r>
      <w:proofErr w:type="spellEnd"/>
      <w:r w:rsidRPr="00CB2256">
        <w:rPr>
          <w:rFonts w:ascii="Times New Roman" w:hAnsi="Times New Roman" w:cstheme="minorHAnsi"/>
          <w:color w:val="auto"/>
        </w:rPr>
        <w:t xml:space="preserve"> ja siten tukiryhmämme työsuunnitelma ei ole lopullisesti selkeytynyt.</w:t>
      </w:r>
    </w:p>
    <w:p w:rsidR="00ED2300" w:rsidRPr="00ED2300" w:rsidRDefault="00ED2300" w:rsidP="00715C8C"/>
    <w:sectPr w:rsidR="00ED2300" w:rsidRPr="00ED2300" w:rsidSect="008B40C9">
      <w:headerReference w:type="default" r:id="rId9"/>
      <w:footerReference w:type="default" r:id="rId10"/>
      <w:pgSz w:w="11906" w:h="16838" w:code="9"/>
      <w:pgMar w:top="567"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CC4" w:rsidRDefault="00D54CC4" w:rsidP="00440574">
      <w:r>
        <w:separator/>
      </w:r>
    </w:p>
  </w:endnote>
  <w:endnote w:type="continuationSeparator" w:id="0">
    <w:p w:rsidR="00D54CC4" w:rsidRDefault="00D54CC4" w:rsidP="0044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491" w:rsidRPr="00C17491" w:rsidRDefault="00C17491" w:rsidP="00C17491">
    <w:pPr>
      <w:pStyle w:val="Alatunniste"/>
      <w:tabs>
        <w:tab w:val="clear" w:pos="4819"/>
        <w:tab w:val="clear"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CC4" w:rsidRDefault="00D54CC4" w:rsidP="00440574">
      <w:r>
        <w:separator/>
      </w:r>
    </w:p>
  </w:footnote>
  <w:footnote w:type="continuationSeparator" w:id="0">
    <w:p w:rsidR="00D54CC4" w:rsidRDefault="00D54CC4" w:rsidP="00440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574" w:rsidRPr="00440574" w:rsidRDefault="00440574" w:rsidP="00C17491">
    <w:pPr>
      <w:pStyle w:val="Yltunniste"/>
      <w:tabs>
        <w:tab w:val="clear" w:pos="4819"/>
        <w:tab w:val="clear" w:pos="9638"/>
        <w:tab w:val="left" w:pos="4536"/>
        <w:tab w:val="left" w:pos="7088"/>
        <w:tab w:val="right" w:pos="9639"/>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8029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EE86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D62A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AA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0894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EA46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BE9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9AC0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A05D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201E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5767EF"/>
    <w:multiLevelType w:val="hybridMultilevel"/>
    <w:tmpl w:val="F4BED1F2"/>
    <w:lvl w:ilvl="0" w:tplc="A296C832">
      <w:start w:val="1"/>
      <w:numFmt w:val="bullet"/>
      <w:pStyle w:val="Luettelokappale"/>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1" w15:restartNumberingAfterBreak="0">
    <w:nsid w:val="6E980088"/>
    <w:multiLevelType w:val="hybridMultilevel"/>
    <w:tmpl w:val="E75A08C0"/>
    <w:lvl w:ilvl="0" w:tplc="3684C090">
      <w:start w:val="1"/>
      <w:numFmt w:val="bullet"/>
      <w:pStyle w:val="Luettelokappale2"/>
      <w:lvlText w:val="o"/>
      <w:lvlJc w:val="left"/>
      <w:pPr>
        <w:ind w:left="3685" w:hanging="360"/>
      </w:pPr>
      <w:rPr>
        <w:rFonts w:ascii="Courier New" w:hAnsi="Courier New" w:cs="Courier New" w:hint="default"/>
      </w:rPr>
    </w:lvl>
    <w:lvl w:ilvl="1" w:tplc="040B0003" w:tentative="1">
      <w:start w:val="1"/>
      <w:numFmt w:val="bullet"/>
      <w:lvlText w:val="o"/>
      <w:lvlJc w:val="left"/>
      <w:pPr>
        <w:ind w:left="4405" w:hanging="360"/>
      </w:pPr>
      <w:rPr>
        <w:rFonts w:ascii="Courier New" w:hAnsi="Courier New" w:cs="Courier New" w:hint="default"/>
      </w:rPr>
    </w:lvl>
    <w:lvl w:ilvl="2" w:tplc="040B0005" w:tentative="1">
      <w:start w:val="1"/>
      <w:numFmt w:val="bullet"/>
      <w:lvlText w:val=""/>
      <w:lvlJc w:val="left"/>
      <w:pPr>
        <w:ind w:left="5125" w:hanging="360"/>
      </w:pPr>
      <w:rPr>
        <w:rFonts w:ascii="Wingdings" w:hAnsi="Wingdings" w:hint="default"/>
      </w:rPr>
    </w:lvl>
    <w:lvl w:ilvl="3" w:tplc="040B0001" w:tentative="1">
      <w:start w:val="1"/>
      <w:numFmt w:val="bullet"/>
      <w:lvlText w:val=""/>
      <w:lvlJc w:val="left"/>
      <w:pPr>
        <w:ind w:left="5845" w:hanging="360"/>
      </w:pPr>
      <w:rPr>
        <w:rFonts w:ascii="Symbol" w:hAnsi="Symbol" w:hint="default"/>
      </w:rPr>
    </w:lvl>
    <w:lvl w:ilvl="4" w:tplc="040B0003" w:tentative="1">
      <w:start w:val="1"/>
      <w:numFmt w:val="bullet"/>
      <w:lvlText w:val="o"/>
      <w:lvlJc w:val="left"/>
      <w:pPr>
        <w:ind w:left="6565" w:hanging="360"/>
      </w:pPr>
      <w:rPr>
        <w:rFonts w:ascii="Courier New" w:hAnsi="Courier New" w:cs="Courier New" w:hint="default"/>
      </w:rPr>
    </w:lvl>
    <w:lvl w:ilvl="5" w:tplc="040B0005" w:tentative="1">
      <w:start w:val="1"/>
      <w:numFmt w:val="bullet"/>
      <w:lvlText w:val=""/>
      <w:lvlJc w:val="left"/>
      <w:pPr>
        <w:ind w:left="7285" w:hanging="360"/>
      </w:pPr>
      <w:rPr>
        <w:rFonts w:ascii="Wingdings" w:hAnsi="Wingdings" w:hint="default"/>
      </w:rPr>
    </w:lvl>
    <w:lvl w:ilvl="6" w:tplc="040B0001" w:tentative="1">
      <w:start w:val="1"/>
      <w:numFmt w:val="bullet"/>
      <w:lvlText w:val=""/>
      <w:lvlJc w:val="left"/>
      <w:pPr>
        <w:ind w:left="8005" w:hanging="360"/>
      </w:pPr>
      <w:rPr>
        <w:rFonts w:ascii="Symbol" w:hAnsi="Symbol" w:hint="default"/>
      </w:rPr>
    </w:lvl>
    <w:lvl w:ilvl="7" w:tplc="040B0003" w:tentative="1">
      <w:start w:val="1"/>
      <w:numFmt w:val="bullet"/>
      <w:lvlText w:val="o"/>
      <w:lvlJc w:val="left"/>
      <w:pPr>
        <w:ind w:left="8725" w:hanging="360"/>
      </w:pPr>
      <w:rPr>
        <w:rFonts w:ascii="Courier New" w:hAnsi="Courier New" w:cs="Courier New" w:hint="default"/>
      </w:rPr>
    </w:lvl>
    <w:lvl w:ilvl="8" w:tplc="040B0005" w:tentative="1">
      <w:start w:val="1"/>
      <w:numFmt w:val="bullet"/>
      <w:lvlText w:val=""/>
      <w:lvlJc w:val="left"/>
      <w:pPr>
        <w:ind w:left="9445" w:hanging="360"/>
      </w:pPr>
      <w:rPr>
        <w:rFonts w:ascii="Wingdings" w:hAnsi="Wingdings" w:hint="default"/>
      </w:rPr>
    </w:lvl>
  </w:abstractNum>
  <w:num w:numId="1">
    <w:abstractNumId w:val="10"/>
  </w:num>
  <w:num w:numId="2">
    <w:abstractNumId w:val="11"/>
  </w:num>
  <w:num w:numId="3">
    <w:abstractNumId w:val="10"/>
  </w:num>
  <w:num w:numId="4">
    <w:abstractNumId w:val="11"/>
  </w:num>
  <w:num w:numId="5">
    <w:abstractNumId w:val="10"/>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1304"/>
  <w:autoHyphenation/>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CC4"/>
    <w:rsid w:val="000402B1"/>
    <w:rsid w:val="00075E81"/>
    <w:rsid w:val="00110D47"/>
    <w:rsid w:val="0012194F"/>
    <w:rsid w:val="001E5073"/>
    <w:rsid w:val="00411B43"/>
    <w:rsid w:val="00440574"/>
    <w:rsid w:val="004420B9"/>
    <w:rsid w:val="006B1239"/>
    <w:rsid w:val="00715C8C"/>
    <w:rsid w:val="00763757"/>
    <w:rsid w:val="00781FC1"/>
    <w:rsid w:val="007E56FC"/>
    <w:rsid w:val="008B40C9"/>
    <w:rsid w:val="008E7170"/>
    <w:rsid w:val="00A47F54"/>
    <w:rsid w:val="00B375DB"/>
    <w:rsid w:val="00B60535"/>
    <w:rsid w:val="00B73C87"/>
    <w:rsid w:val="00C17491"/>
    <w:rsid w:val="00CB2256"/>
    <w:rsid w:val="00D42CBF"/>
    <w:rsid w:val="00D54CC4"/>
    <w:rsid w:val="00DD283F"/>
    <w:rsid w:val="00EA6FAA"/>
    <w:rsid w:val="00ED2300"/>
    <w:rsid w:val="00ED72C5"/>
    <w:rsid w:val="00EF0698"/>
    <w:rsid w:val="00FC4C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ADF554"/>
  <w15:chartTrackingRefBased/>
  <w15:docId w15:val="{5BE5BD76-4238-4490-A933-FB0605C7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B40C9"/>
  </w:style>
  <w:style w:type="paragraph" w:styleId="Otsikko1">
    <w:name w:val="heading 1"/>
    <w:basedOn w:val="Normaali"/>
    <w:next w:val="Leipteksti"/>
    <w:link w:val="Otsikko1Char"/>
    <w:uiPriority w:val="9"/>
    <w:qFormat/>
    <w:rsid w:val="008B40C9"/>
    <w:pPr>
      <w:keepNext/>
      <w:spacing w:before="240" w:after="120"/>
      <w:outlineLvl w:val="0"/>
    </w:pPr>
    <w:rPr>
      <w:rFonts w:eastAsiaTheme="majorEastAsia" w:cstheme="majorBidi"/>
      <w:b/>
      <w:szCs w:val="32"/>
    </w:rPr>
  </w:style>
  <w:style w:type="paragraph" w:styleId="Otsikko2">
    <w:name w:val="heading 2"/>
    <w:basedOn w:val="Normaali"/>
    <w:next w:val="Leipteksti"/>
    <w:link w:val="Otsikko2Char"/>
    <w:uiPriority w:val="9"/>
    <w:unhideWhenUsed/>
    <w:qFormat/>
    <w:rsid w:val="008B40C9"/>
    <w:pPr>
      <w:keepNext/>
      <w:spacing w:before="240" w:after="120"/>
      <w:outlineLvl w:val="1"/>
    </w:pPr>
    <w:rPr>
      <w:rFonts w:eastAsiaTheme="majorEastAsia" w:cstheme="majorBidi"/>
      <w:b/>
      <w:szCs w:val="26"/>
    </w:rPr>
  </w:style>
  <w:style w:type="paragraph" w:styleId="Otsikko3">
    <w:name w:val="heading 3"/>
    <w:basedOn w:val="Normaali"/>
    <w:next w:val="Leipteksti"/>
    <w:link w:val="Otsikko3Char"/>
    <w:uiPriority w:val="9"/>
    <w:unhideWhenUsed/>
    <w:qFormat/>
    <w:rsid w:val="008B40C9"/>
    <w:pPr>
      <w:keepNext/>
      <w:spacing w:before="240" w:after="120"/>
      <w:outlineLvl w:val="2"/>
    </w:pPr>
    <w:rPr>
      <w:rFonts w:eastAsiaTheme="majorEastAsia" w:cstheme="majorBidi"/>
      <w:b/>
    </w:rPr>
  </w:style>
  <w:style w:type="paragraph" w:styleId="Otsikko4">
    <w:name w:val="heading 4"/>
    <w:basedOn w:val="Normaali"/>
    <w:next w:val="Normaali"/>
    <w:link w:val="Otsikko4Char"/>
    <w:uiPriority w:val="9"/>
    <w:semiHidden/>
    <w:rsid w:val="008B40C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99"/>
    <w:qFormat/>
    <w:rsid w:val="008B40C9"/>
    <w:pPr>
      <w:ind w:left="2608"/>
    </w:pPr>
  </w:style>
  <w:style w:type="character" w:customStyle="1" w:styleId="LeiptekstiChar">
    <w:name w:val="Leipäteksti Char"/>
    <w:basedOn w:val="Kappaleenoletusfontti"/>
    <w:link w:val="Leipteksti"/>
    <w:uiPriority w:val="99"/>
    <w:rsid w:val="008B40C9"/>
  </w:style>
  <w:style w:type="paragraph" w:customStyle="1" w:styleId="Riippuvasisennys">
    <w:name w:val="Riippuva sisennys"/>
    <w:basedOn w:val="Normaali"/>
    <w:next w:val="Leipteksti"/>
    <w:qFormat/>
    <w:rsid w:val="008B40C9"/>
    <w:pPr>
      <w:ind w:left="2608" w:hanging="2608"/>
    </w:pPr>
  </w:style>
  <w:style w:type="paragraph" w:styleId="Luettelokappale">
    <w:name w:val="List Paragraph"/>
    <w:basedOn w:val="Leipteksti"/>
    <w:uiPriority w:val="34"/>
    <w:qFormat/>
    <w:rsid w:val="008B40C9"/>
    <w:pPr>
      <w:numPr>
        <w:numId w:val="5"/>
      </w:numPr>
      <w:ind w:left="2965" w:hanging="357"/>
      <w:contextualSpacing/>
    </w:pPr>
  </w:style>
  <w:style w:type="paragraph" w:customStyle="1" w:styleId="Luettelokappale2">
    <w:name w:val="Luettelokappale 2"/>
    <w:basedOn w:val="Leipteksti"/>
    <w:qFormat/>
    <w:rsid w:val="008B40C9"/>
    <w:pPr>
      <w:numPr>
        <w:numId w:val="6"/>
      </w:numPr>
      <w:ind w:left="3322" w:hanging="357"/>
    </w:pPr>
  </w:style>
  <w:style w:type="paragraph" w:styleId="Otsikko">
    <w:name w:val="Title"/>
    <w:basedOn w:val="Normaali"/>
    <w:next w:val="Leipteksti"/>
    <w:link w:val="OtsikkoChar"/>
    <w:uiPriority w:val="10"/>
    <w:qFormat/>
    <w:rsid w:val="008B40C9"/>
    <w:pPr>
      <w:spacing w:before="240" w:after="240"/>
      <w:contextualSpacing/>
    </w:pPr>
    <w:rPr>
      <w:rFonts w:eastAsiaTheme="majorEastAsia" w:cstheme="majorBidi"/>
      <w:b/>
      <w:spacing w:val="-10"/>
      <w:kern w:val="28"/>
      <w:szCs w:val="56"/>
    </w:rPr>
  </w:style>
  <w:style w:type="character" w:customStyle="1" w:styleId="OtsikkoChar">
    <w:name w:val="Otsikko Char"/>
    <w:basedOn w:val="Kappaleenoletusfontti"/>
    <w:link w:val="Otsikko"/>
    <w:uiPriority w:val="10"/>
    <w:rsid w:val="008B40C9"/>
    <w:rPr>
      <w:rFonts w:eastAsiaTheme="majorEastAsia" w:cstheme="majorBidi"/>
      <w:b/>
      <w:spacing w:val="-10"/>
      <w:kern w:val="28"/>
      <w:szCs w:val="56"/>
    </w:rPr>
  </w:style>
  <w:style w:type="character" w:customStyle="1" w:styleId="Otsikko1Char">
    <w:name w:val="Otsikko 1 Char"/>
    <w:basedOn w:val="Kappaleenoletusfontti"/>
    <w:link w:val="Otsikko1"/>
    <w:uiPriority w:val="9"/>
    <w:rsid w:val="008B40C9"/>
    <w:rPr>
      <w:rFonts w:eastAsiaTheme="majorEastAsia" w:cstheme="majorBidi"/>
      <w:b/>
      <w:szCs w:val="32"/>
    </w:rPr>
  </w:style>
  <w:style w:type="character" w:customStyle="1" w:styleId="Otsikko2Char">
    <w:name w:val="Otsikko 2 Char"/>
    <w:basedOn w:val="Kappaleenoletusfontti"/>
    <w:link w:val="Otsikko2"/>
    <w:uiPriority w:val="9"/>
    <w:rsid w:val="008B40C9"/>
    <w:rPr>
      <w:rFonts w:eastAsiaTheme="majorEastAsia" w:cstheme="majorBidi"/>
      <w:b/>
      <w:szCs w:val="26"/>
    </w:rPr>
  </w:style>
  <w:style w:type="character" w:customStyle="1" w:styleId="Otsikko3Char">
    <w:name w:val="Otsikko 3 Char"/>
    <w:basedOn w:val="Kappaleenoletusfontti"/>
    <w:link w:val="Otsikko3"/>
    <w:uiPriority w:val="9"/>
    <w:rsid w:val="008B40C9"/>
    <w:rPr>
      <w:rFonts w:eastAsiaTheme="majorEastAsia" w:cstheme="majorBidi"/>
      <w:b/>
    </w:rPr>
  </w:style>
  <w:style w:type="paragraph" w:styleId="Sisluet1">
    <w:name w:val="toc 1"/>
    <w:basedOn w:val="Normaali"/>
    <w:next w:val="Normaali"/>
    <w:uiPriority w:val="39"/>
    <w:unhideWhenUsed/>
    <w:qFormat/>
    <w:rsid w:val="006B1239"/>
    <w:pPr>
      <w:tabs>
        <w:tab w:val="right" w:leader="dot" w:pos="9639"/>
      </w:tabs>
    </w:pPr>
  </w:style>
  <w:style w:type="paragraph" w:styleId="Sisluet2">
    <w:name w:val="toc 2"/>
    <w:basedOn w:val="Normaali"/>
    <w:next w:val="Normaali"/>
    <w:uiPriority w:val="39"/>
    <w:semiHidden/>
    <w:unhideWhenUsed/>
    <w:qFormat/>
    <w:rsid w:val="006B1239"/>
    <w:pPr>
      <w:tabs>
        <w:tab w:val="right" w:leader="dot" w:pos="9639"/>
      </w:tabs>
      <w:ind w:left="482"/>
    </w:pPr>
  </w:style>
  <w:style w:type="paragraph" w:styleId="Sisluet3">
    <w:name w:val="toc 3"/>
    <w:basedOn w:val="Normaali"/>
    <w:next w:val="Normaali"/>
    <w:uiPriority w:val="39"/>
    <w:semiHidden/>
    <w:unhideWhenUsed/>
    <w:qFormat/>
    <w:rsid w:val="006B1239"/>
    <w:pPr>
      <w:tabs>
        <w:tab w:val="right" w:leader="dot" w:pos="9639"/>
      </w:tabs>
      <w:ind w:left="1100"/>
    </w:pPr>
  </w:style>
  <w:style w:type="paragraph" w:styleId="Yltunniste">
    <w:name w:val="header"/>
    <w:basedOn w:val="Normaali"/>
    <w:link w:val="YltunnisteChar"/>
    <w:uiPriority w:val="99"/>
    <w:semiHidden/>
    <w:rsid w:val="00440574"/>
    <w:pPr>
      <w:tabs>
        <w:tab w:val="center" w:pos="4819"/>
        <w:tab w:val="right" w:pos="9638"/>
      </w:tabs>
    </w:pPr>
  </w:style>
  <w:style w:type="character" w:customStyle="1" w:styleId="YltunnisteChar">
    <w:name w:val="Ylätunniste Char"/>
    <w:basedOn w:val="Kappaleenoletusfontti"/>
    <w:link w:val="Yltunniste"/>
    <w:uiPriority w:val="99"/>
    <w:semiHidden/>
    <w:rsid w:val="008B40C9"/>
  </w:style>
  <w:style w:type="paragraph" w:styleId="Alatunniste">
    <w:name w:val="footer"/>
    <w:basedOn w:val="Normaali"/>
    <w:link w:val="AlatunnisteChar"/>
    <w:uiPriority w:val="99"/>
    <w:semiHidden/>
    <w:rsid w:val="00440574"/>
    <w:pPr>
      <w:tabs>
        <w:tab w:val="center" w:pos="4819"/>
        <w:tab w:val="right" w:pos="9638"/>
      </w:tabs>
    </w:pPr>
  </w:style>
  <w:style w:type="character" w:customStyle="1" w:styleId="AlatunnisteChar">
    <w:name w:val="Alatunniste Char"/>
    <w:basedOn w:val="Kappaleenoletusfontti"/>
    <w:link w:val="Alatunniste"/>
    <w:uiPriority w:val="99"/>
    <w:semiHidden/>
    <w:rsid w:val="008B40C9"/>
  </w:style>
  <w:style w:type="character" w:customStyle="1" w:styleId="Otsikko4Char">
    <w:name w:val="Otsikko 4 Char"/>
    <w:basedOn w:val="Kappaleenoletusfontti"/>
    <w:link w:val="Otsikko4"/>
    <w:uiPriority w:val="9"/>
    <w:semiHidden/>
    <w:rsid w:val="008B40C9"/>
    <w:rPr>
      <w:rFonts w:asciiTheme="majorHAnsi" w:eastAsiaTheme="majorEastAsia" w:hAnsiTheme="majorHAnsi" w:cstheme="majorBidi"/>
      <w:i/>
      <w:iCs/>
      <w:color w:val="2E74B5" w:themeColor="accent1" w:themeShade="BF"/>
    </w:rPr>
  </w:style>
  <w:style w:type="paragraph" w:customStyle="1" w:styleId="Default">
    <w:name w:val="Default"/>
    <w:rsid w:val="00CB2256"/>
    <w:pPr>
      <w:autoSpaceDE w:val="0"/>
      <w:autoSpaceDN w:val="0"/>
      <w:adjustRightInd w:val="0"/>
    </w:pPr>
    <w:rPr>
      <w:rFonts w:ascii="Tahoma" w:hAnsi="Tahoma" w:cs="Tahoma"/>
      <w:color w:val="000000"/>
    </w:rPr>
  </w:style>
  <w:style w:type="paragraph" w:styleId="Sisllysluettelonotsikko">
    <w:name w:val="TOC Heading"/>
    <w:basedOn w:val="Otsikko1"/>
    <w:next w:val="Normaali"/>
    <w:uiPriority w:val="39"/>
    <w:unhideWhenUsed/>
    <w:qFormat/>
    <w:rsid w:val="00D42CBF"/>
    <w:pPr>
      <w:keepLines/>
      <w:spacing w:after="0" w:line="259" w:lineRule="auto"/>
      <w:outlineLvl w:val="9"/>
    </w:pPr>
    <w:rPr>
      <w:rFonts w:asciiTheme="majorHAnsi" w:hAnsiTheme="majorHAnsi"/>
      <w:b w:val="0"/>
      <w:color w:val="2E74B5" w:themeColor="accent1" w:themeShade="BF"/>
      <w:sz w:val="32"/>
      <w:lang w:eastAsia="fi-FI"/>
    </w:rPr>
  </w:style>
  <w:style w:type="character" w:styleId="Hyperlinkki">
    <w:name w:val="Hyperlink"/>
    <w:basedOn w:val="Kappaleenoletusfontti"/>
    <w:uiPriority w:val="99"/>
    <w:unhideWhenUsed/>
    <w:rsid w:val="00D42C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38730">
      <w:bodyDiv w:val="1"/>
      <w:marLeft w:val="0"/>
      <w:marRight w:val="0"/>
      <w:marTop w:val="0"/>
      <w:marBottom w:val="0"/>
      <w:divBdr>
        <w:top w:val="none" w:sz="0" w:space="0" w:color="auto"/>
        <w:left w:val="none" w:sz="0" w:space="0" w:color="auto"/>
        <w:bottom w:val="none" w:sz="0" w:space="0" w:color="auto"/>
        <w:right w:val="none" w:sz="0" w:space="0" w:color="auto"/>
      </w:divBdr>
    </w:div>
    <w:div w:id="483933402">
      <w:bodyDiv w:val="1"/>
      <w:marLeft w:val="0"/>
      <w:marRight w:val="0"/>
      <w:marTop w:val="0"/>
      <w:marBottom w:val="0"/>
      <w:divBdr>
        <w:top w:val="none" w:sz="0" w:space="0" w:color="auto"/>
        <w:left w:val="none" w:sz="0" w:space="0" w:color="auto"/>
        <w:bottom w:val="none" w:sz="0" w:space="0" w:color="auto"/>
        <w:right w:val="none" w:sz="0" w:space="0" w:color="auto"/>
      </w:divBdr>
    </w:div>
    <w:div w:id="804010887">
      <w:bodyDiv w:val="1"/>
      <w:marLeft w:val="0"/>
      <w:marRight w:val="0"/>
      <w:marTop w:val="0"/>
      <w:marBottom w:val="0"/>
      <w:divBdr>
        <w:top w:val="none" w:sz="0" w:space="0" w:color="auto"/>
        <w:left w:val="none" w:sz="0" w:space="0" w:color="auto"/>
        <w:bottom w:val="none" w:sz="0" w:space="0" w:color="auto"/>
        <w:right w:val="none" w:sz="0" w:space="0" w:color="auto"/>
      </w:divBdr>
    </w:div>
    <w:div w:id="1283850571">
      <w:bodyDiv w:val="1"/>
      <w:marLeft w:val="0"/>
      <w:marRight w:val="0"/>
      <w:marTop w:val="0"/>
      <w:marBottom w:val="0"/>
      <w:divBdr>
        <w:top w:val="none" w:sz="0" w:space="0" w:color="auto"/>
        <w:left w:val="none" w:sz="0" w:space="0" w:color="auto"/>
        <w:bottom w:val="none" w:sz="0" w:space="0" w:color="auto"/>
        <w:right w:val="none" w:sz="0" w:space="0" w:color="auto"/>
      </w:divBdr>
    </w:div>
    <w:div w:id="1344553567">
      <w:bodyDiv w:val="1"/>
      <w:marLeft w:val="0"/>
      <w:marRight w:val="0"/>
      <w:marTop w:val="0"/>
      <w:marBottom w:val="0"/>
      <w:divBdr>
        <w:top w:val="none" w:sz="0" w:space="0" w:color="auto"/>
        <w:left w:val="none" w:sz="0" w:space="0" w:color="auto"/>
        <w:bottom w:val="none" w:sz="0" w:space="0" w:color="auto"/>
        <w:right w:val="none" w:sz="0" w:space="0" w:color="auto"/>
      </w:divBdr>
    </w:div>
    <w:div w:id="1378626411">
      <w:bodyDiv w:val="1"/>
      <w:marLeft w:val="0"/>
      <w:marRight w:val="0"/>
      <w:marTop w:val="0"/>
      <w:marBottom w:val="0"/>
      <w:divBdr>
        <w:top w:val="none" w:sz="0" w:space="0" w:color="auto"/>
        <w:left w:val="none" w:sz="0" w:space="0" w:color="auto"/>
        <w:bottom w:val="none" w:sz="0" w:space="0" w:color="auto"/>
        <w:right w:val="none" w:sz="0" w:space="0" w:color="auto"/>
      </w:divBdr>
    </w:div>
    <w:div w:id="21028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88239-59BD-4111-85D3-2AE968C7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1252</Words>
  <Characters>10145</Characters>
  <Application>Microsoft Office Word</Application>
  <DocSecurity>0</DocSecurity>
  <Lines>84</Lines>
  <Paragraphs>22</Paragraphs>
  <ScaleCrop>false</ScaleCrop>
  <HeadingPairs>
    <vt:vector size="2" baseType="variant">
      <vt:variant>
        <vt:lpstr>Otsikko</vt:lpstr>
      </vt:variant>
      <vt:variant>
        <vt:i4>1</vt:i4>
      </vt:variant>
    </vt:vector>
  </HeadingPairs>
  <TitlesOfParts>
    <vt:vector size="1" baseType="lpstr">
      <vt:lpstr/>
    </vt:vector>
  </TitlesOfParts>
  <Company>Eläketurvakeskus</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Mäkinen Hanna</dc:creator>
  <cp:keywords/>
  <dc:description/>
  <cp:lastModifiedBy>Mäkinen Hanna</cp:lastModifiedBy>
  <cp:revision>9</cp:revision>
  <dcterms:created xsi:type="dcterms:W3CDTF">2019-03-12T16:25:00Z</dcterms:created>
  <dcterms:modified xsi:type="dcterms:W3CDTF">2019-03-14T13:17:00Z</dcterms:modified>
</cp:coreProperties>
</file>